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outlineLvl w:val="0"/>
        <w:rPr>
          <w:rFonts w:hint="eastAsia" w:hAnsi="宋体"/>
          <w:b/>
          <w:color w:val="000000"/>
          <w:szCs w:val="24"/>
        </w:rPr>
      </w:pPr>
      <w:r>
        <w:rPr>
          <w:rFonts w:hint="eastAsia" w:hAnsi="宋体" w:cs="宋体"/>
          <w:b/>
          <w:color w:val="000000"/>
          <w:sz w:val="32"/>
          <w:szCs w:val="32"/>
          <w:lang w:val="zh-CN"/>
        </w:rPr>
        <w:t>第二部分 采购项目服务需求及技术要求</w:t>
      </w:r>
    </w:p>
    <w:p>
      <w:pPr>
        <w:pStyle w:val="2"/>
        <w:spacing w:line="36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2"/>
        <w:spacing w:line="36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0" w:name="_Toc24273"/>
    </w:p>
    <w:p>
      <w:pPr>
        <w:pStyle w:val="2"/>
        <w:spacing w:line="360" w:lineRule="exact"/>
        <w:ind w:firstLine="482" w:firstLineChars="200"/>
        <w:rPr>
          <w:rFonts w:ascii="仿宋" w:hAnsi="仿宋" w:eastAsia="仿宋" w:cs="仿宋"/>
          <w:b/>
          <w:bCs/>
          <w:szCs w:val="24"/>
        </w:rPr>
      </w:pPr>
      <w:r>
        <w:rPr>
          <w:rFonts w:hint="eastAsia" w:ascii="仿宋" w:hAnsi="仿宋" w:eastAsia="仿宋" w:cs="仿宋"/>
          <w:b/>
          <w:bCs/>
          <w:szCs w:val="24"/>
        </w:rPr>
        <w:t>2.原装进口的产品，如国内产品满足需求也可参与采购竞争。</w:t>
      </w:r>
    </w:p>
    <w:bookmarkEnd w:id="0"/>
    <w:p>
      <w:pPr>
        <w:pStyle w:val="5"/>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1"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p>
      <w:pPr>
        <w:pStyle w:val="5"/>
        <w:widowControl w:val="0"/>
        <w:autoSpaceDE w:val="0"/>
        <w:autoSpaceDN w:val="0"/>
        <w:adjustRightInd w:val="0"/>
        <w:spacing w:line="500" w:lineRule="exact"/>
        <w:ind w:left="568" w:firstLine="0"/>
        <w:jc w:val="both"/>
        <w:rPr>
          <w:rFonts w:ascii="Times New Roman" w:hAnsi="Times New Roman" w:eastAsia="黑体"/>
          <w:sz w:val="28"/>
          <w:szCs w:val="28"/>
          <w:lang w:eastAsia="zh-CN"/>
        </w:rPr>
      </w:pPr>
      <w:r>
        <w:rPr>
          <w:rFonts w:hint="eastAsia" w:ascii="Times New Roman" w:hAnsi="Times New Roman" w:eastAsia="黑体"/>
          <w:sz w:val="28"/>
          <w:szCs w:val="28"/>
          <w:lang w:eastAsia="zh-CN"/>
        </w:rPr>
        <w:t>（一）采购内容</w:t>
      </w:r>
    </w:p>
    <w:tbl>
      <w:tblPr>
        <w:tblStyle w:val="3"/>
        <w:tblpPr w:leftFromText="180" w:rightFromText="180" w:vertAnchor="text" w:horzAnchor="margin" w:tblpXSpec="center" w:tblpY="783"/>
        <w:tblOverlap w:val="never"/>
        <w:tblW w:w="4997" w:type="pct"/>
        <w:tblInd w:w="0" w:type="dxa"/>
        <w:tblLayout w:type="autofit"/>
        <w:tblCellMar>
          <w:top w:w="0" w:type="dxa"/>
          <w:left w:w="108" w:type="dxa"/>
          <w:bottom w:w="0" w:type="dxa"/>
          <w:right w:w="108" w:type="dxa"/>
        </w:tblCellMar>
      </w:tblPr>
      <w:tblGrid>
        <w:gridCol w:w="1059"/>
        <w:gridCol w:w="1564"/>
        <w:gridCol w:w="1564"/>
        <w:gridCol w:w="722"/>
        <w:gridCol w:w="1396"/>
        <w:gridCol w:w="554"/>
        <w:gridCol w:w="554"/>
        <w:gridCol w:w="554"/>
        <w:gridCol w:w="555"/>
      </w:tblGrid>
      <w:tr>
        <w:tblPrEx>
          <w:tblCellMar>
            <w:top w:w="0" w:type="dxa"/>
            <w:left w:w="108" w:type="dxa"/>
            <w:bottom w:w="0" w:type="dxa"/>
            <w:right w:w="108" w:type="dxa"/>
          </w:tblCellMar>
        </w:tblPrEx>
        <w:trPr>
          <w:trHeight w:val="23" w:hRule="atLeast"/>
        </w:trPr>
        <w:tc>
          <w:tcPr>
            <w:tcW w:w="3440"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rPr>
            </w:pPr>
            <w:r>
              <w:rPr>
                <w:rFonts w:hint="eastAsia" w:ascii="仿宋" w:hAnsi="仿宋" w:eastAsia="仿宋" w:cs="仿宋"/>
                <w:b/>
                <w:bCs/>
                <w:color w:val="000000"/>
                <w:lang w:bidi="ar"/>
              </w:rPr>
              <w:t>温控范围</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b/>
                <w:bCs/>
                <w:color w:val="000000"/>
              </w:rPr>
            </w:pPr>
            <w:r>
              <w:rPr>
                <w:rFonts w:hint="eastAsia" w:ascii="仿宋" w:hAnsi="仿宋" w:eastAsia="仿宋" w:cs="仿宋"/>
                <w:b/>
                <w:bCs/>
                <w:color w:val="000000"/>
                <w:lang w:bidi="ar"/>
              </w:rPr>
              <w:t>探头</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b/>
                <w:bCs/>
                <w:color w:val="000000"/>
              </w:rPr>
            </w:pPr>
            <w:r>
              <w:rPr>
                <w:rFonts w:hint="eastAsia" w:ascii="仿宋" w:hAnsi="仿宋" w:eastAsia="仿宋" w:cs="仿宋"/>
                <w:b/>
                <w:bCs/>
                <w:color w:val="000000"/>
                <w:lang w:bidi="ar"/>
              </w:rPr>
              <w:t>数量</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b/>
                <w:bCs/>
                <w:color w:val="000000"/>
              </w:rPr>
            </w:pPr>
            <w:r>
              <w:rPr>
                <w:rFonts w:hint="eastAsia" w:ascii="仿宋" w:hAnsi="仿宋" w:eastAsia="仿宋" w:cs="仿宋"/>
                <w:b/>
                <w:bCs/>
                <w:color w:val="000000"/>
                <w:lang w:bidi="ar"/>
              </w:rPr>
              <w:t>单位</w:t>
            </w:r>
          </w:p>
        </w:tc>
        <w:tc>
          <w:tcPr>
            <w:tcW w:w="50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b/>
                <w:bCs/>
                <w:color w:val="000000"/>
              </w:rPr>
            </w:pPr>
            <w:r>
              <w:rPr>
                <w:rFonts w:hint="eastAsia" w:ascii="仿宋" w:hAnsi="仿宋" w:eastAsia="仿宋" w:cs="仿宋"/>
                <w:b/>
                <w:bCs/>
                <w:color w:val="000000"/>
                <w:lang w:bidi="ar"/>
              </w:rPr>
              <w:t>备注</w:t>
            </w:r>
          </w:p>
        </w:tc>
      </w:tr>
      <w:tr>
        <w:tblPrEx>
          <w:tblCellMar>
            <w:top w:w="0" w:type="dxa"/>
            <w:left w:w="108" w:type="dxa"/>
            <w:bottom w:w="0" w:type="dxa"/>
            <w:right w:w="108" w:type="dxa"/>
          </w:tblCellMar>
        </w:tblPrEx>
        <w:trPr>
          <w:trHeight w:val="462" w:hRule="atLeast"/>
        </w:trPr>
        <w:tc>
          <w:tcPr>
            <w:tcW w:w="649"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检验楼</w:t>
            </w:r>
          </w:p>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四楼</w:t>
            </w: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原子荧光室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2联台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标准物质冰箱</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rPr>
            </w:pPr>
            <w:r>
              <w:rPr>
                <w:rFonts w:hint="eastAsia" w:ascii="仿宋" w:hAnsi="仿宋" w:eastAsia="仿宋" w:cs="仿宋"/>
                <w:lang w:bidi="ar"/>
              </w:rPr>
              <w:t>双温探头可同时监控2台冰箱，联台需保证冰箱之间的距离在2米</w:t>
            </w:r>
            <w:r>
              <w:rPr>
                <w:rFonts w:hint="eastAsia" w:ascii="仿宋" w:hAnsi="仿宋" w:eastAsia="仿宋" w:cs="仿宋"/>
                <w:color w:val="FF0000"/>
                <w:lang w:bidi="ar"/>
              </w:rPr>
              <w:t>以内。</w:t>
            </w: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液相室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标准物质冰箱</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单温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液相室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上冷藏</w:t>
            </w:r>
          </w:p>
        </w:tc>
        <w:tc>
          <w:tcPr>
            <w:tcW w:w="651" w:type="pct"/>
            <w:vMerge w:val="restart"/>
            <w:tcBorders>
              <w:top w:val="single" w:color="000000" w:sz="4" w:space="0"/>
              <w:left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标准物质冰箱</w:t>
            </w:r>
          </w:p>
        </w:tc>
        <w:tc>
          <w:tcPr>
            <w:tcW w:w="36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双温</w:t>
            </w:r>
          </w:p>
        </w:tc>
        <w:tc>
          <w:tcPr>
            <w:tcW w:w="345"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471"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‘-10℃——-30℃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下冷冻</w:t>
            </w:r>
          </w:p>
        </w:tc>
        <w:tc>
          <w:tcPr>
            <w:tcW w:w="651" w:type="pct"/>
            <w:vMerge w:val="continue"/>
            <w:tcBorders>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p>
        </w:tc>
        <w:tc>
          <w:tcPr>
            <w:tcW w:w="36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5"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尿碘室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尿碘冰箱</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单温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尿碘室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上冷藏</w:t>
            </w:r>
          </w:p>
        </w:tc>
        <w:tc>
          <w:tcPr>
            <w:tcW w:w="651" w:type="pct"/>
            <w:vMerge w:val="restart"/>
            <w:tcBorders>
              <w:top w:val="single" w:color="000000" w:sz="4" w:space="0"/>
              <w:left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尿碘冰箱</w:t>
            </w:r>
          </w:p>
        </w:tc>
        <w:tc>
          <w:tcPr>
            <w:tcW w:w="36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双温</w:t>
            </w:r>
          </w:p>
        </w:tc>
        <w:tc>
          <w:tcPr>
            <w:tcW w:w="345"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‘-10℃——-30℃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下冷冻</w:t>
            </w:r>
          </w:p>
        </w:tc>
        <w:tc>
          <w:tcPr>
            <w:tcW w:w="651" w:type="pct"/>
            <w:vMerge w:val="continue"/>
            <w:tcBorders>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p>
        </w:tc>
        <w:tc>
          <w:tcPr>
            <w:tcW w:w="36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5"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样品室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上冷藏</w:t>
            </w:r>
          </w:p>
        </w:tc>
        <w:tc>
          <w:tcPr>
            <w:tcW w:w="651" w:type="pct"/>
            <w:vMerge w:val="restart"/>
            <w:tcBorders>
              <w:top w:val="single" w:color="000000" w:sz="4" w:space="0"/>
              <w:left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盐碘冰箱</w:t>
            </w:r>
          </w:p>
        </w:tc>
        <w:tc>
          <w:tcPr>
            <w:tcW w:w="36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双温</w:t>
            </w:r>
          </w:p>
        </w:tc>
        <w:tc>
          <w:tcPr>
            <w:tcW w:w="345"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下冷冻</w:t>
            </w:r>
          </w:p>
        </w:tc>
        <w:tc>
          <w:tcPr>
            <w:tcW w:w="651" w:type="pct"/>
            <w:vMerge w:val="continue"/>
            <w:tcBorders>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p>
        </w:tc>
        <w:tc>
          <w:tcPr>
            <w:tcW w:w="36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5"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样品室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两联台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尿碘、空气冰箱</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职业卫生室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上冷藏</w:t>
            </w:r>
          </w:p>
        </w:tc>
        <w:tc>
          <w:tcPr>
            <w:tcW w:w="651" w:type="pct"/>
            <w:vMerge w:val="restart"/>
            <w:tcBorders>
              <w:top w:val="single" w:color="000000" w:sz="4" w:space="0"/>
              <w:left w:val="single" w:color="000000" w:sz="4" w:space="0"/>
              <w:right w:val="single" w:color="000000" w:sz="4" w:space="0"/>
            </w:tcBorders>
            <w:noWrap/>
            <w:vAlign w:val="center"/>
          </w:tcPr>
          <w:p>
            <w:pPr>
              <w:widowControl/>
              <w:textAlignment w:val="center"/>
              <w:rPr>
                <w:rFonts w:hint="eastAsia" w:ascii="仿宋" w:hAnsi="仿宋" w:eastAsia="仿宋" w:cs="仿宋"/>
                <w:color w:val="000000"/>
                <w:lang w:bidi="ar"/>
              </w:rPr>
            </w:pPr>
            <w:r>
              <w:rPr>
                <w:rFonts w:hint="eastAsia" w:ascii="仿宋" w:hAnsi="仿宋" w:eastAsia="仿宋" w:cs="仿宋"/>
                <w:color w:val="000000"/>
                <w:lang w:bidi="ar"/>
              </w:rPr>
              <w:t>冷藏冷冻柜</w:t>
            </w:r>
          </w:p>
        </w:tc>
        <w:tc>
          <w:tcPr>
            <w:tcW w:w="36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双温</w:t>
            </w:r>
          </w:p>
        </w:tc>
        <w:tc>
          <w:tcPr>
            <w:tcW w:w="345"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‘-20℃——-40℃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下冷冻</w:t>
            </w:r>
          </w:p>
        </w:tc>
        <w:tc>
          <w:tcPr>
            <w:tcW w:w="651"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6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5"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化学法前处理间</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上冷藏</w:t>
            </w:r>
          </w:p>
        </w:tc>
        <w:tc>
          <w:tcPr>
            <w:tcW w:w="651"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冷藏冷冻柜</w:t>
            </w:r>
          </w:p>
        </w:tc>
        <w:tc>
          <w:tcPr>
            <w:tcW w:w="36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双温</w:t>
            </w:r>
          </w:p>
        </w:tc>
        <w:tc>
          <w:tcPr>
            <w:tcW w:w="345"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967"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‘-10℃——-30℃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下冷冻</w:t>
            </w:r>
          </w:p>
        </w:tc>
        <w:tc>
          <w:tcPr>
            <w:tcW w:w="651"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66" w:type="pct"/>
            <w:vMerge w:val="continue"/>
            <w:tcBorders>
              <w:left w:val="single" w:color="000000" w:sz="4" w:space="0"/>
              <w:bottom w:val="single" w:color="000000" w:sz="4" w:space="0"/>
              <w:right w:val="single" w:color="000000" w:sz="4" w:space="0"/>
            </w:tcBorders>
            <w:noWrap/>
            <w:vAlign w:val="top"/>
          </w:tcPr>
          <w:p>
            <w:pPr>
              <w:widowControl/>
              <w:jc w:val="center"/>
              <w:textAlignment w:val="center"/>
              <w:rPr>
                <w:rFonts w:hint="eastAsia" w:ascii="仿宋" w:hAnsi="仿宋" w:eastAsia="仿宋" w:cs="仿宋"/>
                <w:color w:val="000000"/>
                <w:lang w:bidi="ar"/>
              </w:rPr>
            </w:pPr>
          </w:p>
        </w:tc>
        <w:tc>
          <w:tcPr>
            <w:tcW w:w="345"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346"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FF0000"/>
                <w:lang w:bidi="ar"/>
              </w:rPr>
            </w:pPr>
          </w:p>
        </w:tc>
      </w:tr>
      <w:tr>
        <w:tblPrEx>
          <w:tblCellMar>
            <w:top w:w="0" w:type="dxa"/>
            <w:left w:w="108" w:type="dxa"/>
            <w:bottom w:w="0" w:type="dxa"/>
            <w:right w:w="108" w:type="dxa"/>
          </w:tblCellMar>
        </w:tblPrEx>
        <w:trPr>
          <w:trHeight w:val="23" w:hRule="atLeast"/>
        </w:trPr>
        <w:tc>
          <w:tcPr>
            <w:tcW w:w="64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检验楼</w:t>
            </w:r>
          </w:p>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三楼</w:t>
            </w:r>
          </w:p>
        </w:tc>
        <w:tc>
          <w:tcPr>
            <w:tcW w:w="96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卫生微生物实验室</w:t>
            </w:r>
          </w:p>
        </w:tc>
        <w:tc>
          <w:tcPr>
            <w:tcW w:w="78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30℃——45℃</w:t>
            </w:r>
          </w:p>
        </w:tc>
        <w:tc>
          <w:tcPr>
            <w:tcW w:w="38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3联台</w:t>
            </w:r>
          </w:p>
        </w:tc>
        <w:tc>
          <w:tcPr>
            <w:tcW w:w="65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恒温培养箱</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lang w:bidi="ar"/>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784"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388"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65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78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2℃——8℃</w:t>
            </w:r>
          </w:p>
        </w:tc>
        <w:tc>
          <w:tcPr>
            <w:tcW w:w="38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3联台</w:t>
            </w:r>
          </w:p>
        </w:tc>
        <w:tc>
          <w:tcPr>
            <w:tcW w:w="65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冷藏展示柜</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784"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388"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65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麻疹室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冷藏展示柜</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低温冰箱</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霉菌实验室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低温冰箱</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30℃——45℃</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霉菌培养箱</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分子生物学实验室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2联台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冷藏展示柜</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肠道致病菌室</w:t>
            </w:r>
          </w:p>
        </w:tc>
        <w:tc>
          <w:tcPr>
            <w:tcW w:w="78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30℃——45℃</w:t>
            </w:r>
          </w:p>
        </w:tc>
        <w:tc>
          <w:tcPr>
            <w:tcW w:w="38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3联台</w:t>
            </w:r>
          </w:p>
        </w:tc>
        <w:tc>
          <w:tcPr>
            <w:tcW w:w="65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恒温培养箱</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784"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388"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65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color w:val="000000"/>
              </w:rPr>
            </w:pP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库房</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低温冰箱</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检验楼二楼</w:t>
            </w:r>
          </w:p>
        </w:tc>
        <w:tc>
          <w:tcPr>
            <w:tcW w:w="96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基因测序室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冷藏展示柜</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‘-20℃</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低温冰箱</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CD4实验室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冷藏展示柜</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确证实验室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2联台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冷藏展示柜</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23"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rPr>
            </w:pPr>
          </w:p>
        </w:tc>
        <w:tc>
          <w:tcPr>
            <w:tcW w:w="9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lang w:bidi="ar"/>
              </w:rPr>
              <w:t>筛查实验室</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2℃——8℃</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单台</w:t>
            </w:r>
          </w:p>
        </w:tc>
        <w:tc>
          <w:tcPr>
            <w:tcW w:w="6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冷藏展示柜</w:t>
            </w:r>
          </w:p>
        </w:tc>
        <w:tc>
          <w:tcPr>
            <w:tcW w:w="366" w:type="pct"/>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双温</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1</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r>
        <w:tblPrEx>
          <w:tblCellMar>
            <w:top w:w="0" w:type="dxa"/>
            <w:left w:w="108" w:type="dxa"/>
            <w:bottom w:w="0" w:type="dxa"/>
            <w:right w:w="108" w:type="dxa"/>
          </w:tblCellMar>
        </w:tblPrEx>
        <w:trPr>
          <w:trHeight w:val="312" w:hRule="atLeast"/>
        </w:trPr>
        <w:tc>
          <w:tcPr>
            <w:tcW w:w="3807" w:type="pct"/>
            <w:gridSpan w:val="6"/>
            <w:tcBorders>
              <w:top w:val="single" w:color="000000" w:sz="4" w:space="0"/>
              <w:left w:val="single" w:color="000000" w:sz="4" w:space="0"/>
              <w:right w:val="single" w:color="000000" w:sz="4" w:space="0"/>
            </w:tcBorders>
            <w:noWrap/>
            <w:vAlign w:val="center"/>
          </w:tcPr>
          <w:p>
            <w:pPr>
              <w:rPr>
                <w:rFonts w:hint="eastAsia" w:ascii="仿宋" w:hAnsi="仿宋" w:eastAsia="仿宋" w:cs="仿宋"/>
                <w:color w:val="000000"/>
              </w:rPr>
            </w:pPr>
            <w:r>
              <w:rPr>
                <w:rFonts w:hint="eastAsia" w:ascii="仿宋" w:hAnsi="仿宋" w:eastAsia="仿宋" w:cs="仿宋"/>
                <w:color w:val="000000"/>
              </w:rPr>
              <w:t>总计</w:t>
            </w:r>
          </w:p>
        </w:tc>
        <w:tc>
          <w:tcPr>
            <w:tcW w:w="345" w:type="pct"/>
            <w:tcBorders>
              <w:top w:val="single" w:color="000000" w:sz="4" w:space="0"/>
              <w:left w:val="single" w:color="000000" w:sz="4" w:space="0"/>
              <w:right w:val="single" w:color="000000" w:sz="4" w:space="0"/>
            </w:tcBorders>
            <w:noWrap/>
            <w:vAlign w:val="center"/>
          </w:tcPr>
          <w:p>
            <w:pPr>
              <w:widowControl/>
              <w:jc w:val="left"/>
              <w:textAlignment w:val="center"/>
              <w:rPr>
                <w:rFonts w:hint="eastAsia" w:ascii="仿宋" w:hAnsi="仿宋" w:eastAsia="仿宋" w:cs="仿宋"/>
                <w:b/>
                <w:bCs/>
                <w:color w:val="000000"/>
              </w:rPr>
            </w:pPr>
            <w:r>
              <w:rPr>
                <w:rFonts w:hint="eastAsia" w:ascii="仿宋" w:hAnsi="仿宋" w:eastAsia="仿宋" w:cs="仿宋"/>
                <w:b/>
                <w:bCs/>
                <w:color w:val="000000"/>
              </w:rPr>
              <w:t>26</w:t>
            </w:r>
          </w:p>
        </w:tc>
        <w:tc>
          <w:tcPr>
            <w:tcW w:w="346" w:type="pct"/>
            <w:tcBorders>
              <w:top w:val="single" w:color="000000" w:sz="4" w:space="0"/>
              <w:left w:val="single" w:color="000000" w:sz="4" w:space="0"/>
              <w:right w:val="single" w:color="000000" w:sz="4" w:space="0"/>
            </w:tcBorders>
            <w:noWrap/>
            <w:vAlign w:val="center"/>
          </w:tcPr>
          <w:p>
            <w:pPr>
              <w:widowControl/>
              <w:jc w:val="left"/>
              <w:textAlignment w:val="center"/>
              <w:rPr>
                <w:rFonts w:hint="eastAsia" w:ascii="仿宋" w:hAnsi="仿宋" w:eastAsia="仿宋" w:cs="仿宋"/>
                <w:b/>
                <w:bCs/>
                <w:color w:val="000000"/>
              </w:rPr>
            </w:pPr>
            <w:r>
              <w:rPr>
                <w:rFonts w:hint="eastAsia" w:ascii="仿宋" w:hAnsi="仿宋" w:eastAsia="仿宋" w:cs="仿宋"/>
                <w:color w:val="000000"/>
                <w:lang w:bidi="ar"/>
              </w:rPr>
              <w:t>台</w:t>
            </w:r>
          </w:p>
        </w:tc>
        <w:tc>
          <w:tcPr>
            <w:tcW w:w="501" w:type="pct"/>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rPr>
            </w:pPr>
          </w:p>
        </w:tc>
      </w:tr>
    </w:tbl>
    <w:p>
      <w:pPr>
        <w:pStyle w:val="5"/>
        <w:widowControl w:val="0"/>
        <w:autoSpaceDE w:val="0"/>
        <w:autoSpaceDN w:val="0"/>
        <w:adjustRightInd w:val="0"/>
        <w:spacing w:line="500" w:lineRule="exact"/>
        <w:ind w:left="568" w:firstLine="0"/>
        <w:jc w:val="both"/>
        <w:rPr>
          <w:rFonts w:hint="eastAsia" w:ascii="Times New Roman" w:hAnsi="Times New Roman" w:eastAsia="黑体"/>
          <w:sz w:val="24"/>
          <w:szCs w:val="24"/>
          <w:lang w:val="zh-CN" w:eastAsia="zh-CN"/>
        </w:rPr>
      </w:pPr>
    </w:p>
    <w:p>
      <w:pPr>
        <w:pStyle w:val="5"/>
        <w:widowControl w:val="0"/>
        <w:autoSpaceDE w:val="0"/>
        <w:autoSpaceDN w:val="0"/>
        <w:adjustRightInd w:val="0"/>
        <w:spacing w:line="500" w:lineRule="exact"/>
        <w:ind w:left="568" w:firstLine="0"/>
        <w:jc w:val="both"/>
        <w:rPr>
          <w:rFonts w:hint="eastAsia" w:ascii="Times New Roman" w:hAnsi="Times New Roman" w:eastAsia="黑体"/>
          <w:sz w:val="24"/>
          <w:szCs w:val="24"/>
          <w:lang w:val="zh-CN" w:eastAsia="zh-CN"/>
        </w:rPr>
      </w:pPr>
    </w:p>
    <w:p>
      <w:pPr>
        <w:pStyle w:val="5"/>
        <w:widowControl w:val="0"/>
        <w:autoSpaceDE w:val="0"/>
        <w:autoSpaceDN w:val="0"/>
        <w:adjustRightInd w:val="0"/>
        <w:spacing w:line="500" w:lineRule="exact"/>
        <w:ind w:left="568" w:firstLine="0"/>
        <w:jc w:val="both"/>
        <w:rPr>
          <w:rFonts w:hint="eastAsia" w:ascii="Times New Roman" w:hAnsi="Times New Roman" w:eastAsia="黑体"/>
          <w:sz w:val="24"/>
          <w:szCs w:val="24"/>
          <w:lang w:val="zh-CN" w:eastAsia="zh-CN"/>
        </w:rPr>
      </w:pPr>
    </w:p>
    <w:p>
      <w:pPr>
        <w:pStyle w:val="5"/>
        <w:widowControl w:val="0"/>
        <w:autoSpaceDE w:val="0"/>
        <w:autoSpaceDN w:val="0"/>
        <w:adjustRightInd w:val="0"/>
        <w:spacing w:line="500" w:lineRule="exact"/>
        <w:ind w:left="568" w:firstLine="0"/>
        <w:jc w:val="both"/>
        <w:rPr>
          <w:rFonts w:hint="eastAsia" w:ascii="Times New Roman" w:hAnsi="Times New Roman" w:eastAsia="黑体"/>
          <w:sz w:val="24"/>
          <w:szCs w:val="24"/>
          <w:lang w:val="zh-CN" w:eastAsia="zh-CN"/>
        </w:rPr>
      </w:pPr>
    </w:p>
    <w:p>
      <w:pPr>
        <w:pStyle w:val="5"/>
        <w:widowControl w:val="0"/>
        <w:numPr>
          <w:ilvl w:val="0"/>
          <w:numId w:val="2"/>
        </w:numPr>
        <w:autoSpaceDE w:val="0"/>
        <w:autoSpaceDN w:val="0"/>
        <w:adjustRightInd w:val="0"/>
        <w:spacing w:line="500" w:lineRule="exact"/>
        <w:ind w:left="568"/>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产品参数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rPr>
        <w:t>1、测量：</w:t>
      </w:r>
      <w:bookmarkStart w:id="2" w:name="_GoBack"/>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1）温湿度记录仪采用外接探头，通过冰箱测试孔延伸到冰箱（提供证明</w:t>
      </w:r>
      <w:r>
        <w:rPr>
          <w:rFonts w:hint="eastAsia" w:ascii="仿宋" w:hAnsi="仿宋" w:eastAsia="仿宋" w:cs="仿宋"/>
          <w:color w:val="auto"/>
          <w:lang w:eastAsia="zh-CN"/>
        </w:rPr>
        <w:t>材料</w:t>
      </w:r>
      <w:r>
        <w:rPr>
          <w:rFonts w:hint="eastAsia" w:ascii="仿宋" w:hAnsi="仿宋" w:eastAsia="仿宋" w:cs="仿宋"/>
          <w:color w:val="auto"/>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★2）测温范围：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 xml:space="preserve">超低温传感器：温度-200℃～+150℃，温度分辨率0.1℃，精度±0.5℃；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温湿度传感器：温度-40℃～+85℃，温度分辨率0.1℃，精度±0.5℃；湿度1%RH～99%RH,湿度分辨率1%，精度±5%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 xml:space="preserve">3) </w:t>
      </w:r>
      <w:r>
        <w:rPr>
          <w:rFonts w:hint="eastAsia" w:ascii="仿宋" w:hAnsi="仿宋" w:eastAsia="仿宋" w:cs="仿宋"/>
          <w:color w:val="auto"/>
          <w:lang w:eastAsia="zh-CN"/>
        </w:rPr>
        <w:t>中标后</w:t>
      </w:r>
      <w:r>
        <w:rPr>
          <w:rFonts w:hint="eastAsia" w:ascii="仿宋" w:hAnsi="仿宋" w:eastAsia="仿宋" w:cs="仿宋"/>
          <w:color w:val="auto"/>
        </w:rPr>
        <w:t>可提供具备CNAS认证的第三方机构出具的计量报告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2、通信：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1）4G通信，数据直接发送到互联网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★2）设备预置3年流量费用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3、报警：设备具有声光报警，可实现温度超限报警、传感器故障报警、断电报警、电池电量低报警；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4、具有TFT彩屏温度显示，显示全部温湿度数据，温湿度超标自动变色，醒目提醒。（提供产品介绍彩页证明材料）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5、数据完整性：板载存储芯片可存储4000条以上数据，可实现断点续传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6、电源：1）带后备电池，电池可充电，无需定期更换电池。电池容量</w:t>
      </w:r>
      <w:r>
        <w:rPr>
          <w:rFonts w:hint="default" w:ascii="Arial" w:hAnsi="Arial" w:eastAsia="仿宋" w:cs="Arial"/>
          <w:color w:val="auto"/>
        </w:rPr>
        <w:t>≥</w:t>
      </w:r>
      <w:r>
        <w:rPr>
          <w:rFonts w:hint="eastAsia" w:ascii="仿宋" w:hAnsi="仿宋" w:eastAsia="仿宋" w:cs="仿宋"/>
          <w:color w:val="auto"/>
        </w:rPr>
        <w:t>1800mAH，断电可用5天以上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2）Type-C USB供电，支持正反插入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★7、固件维护可实现在线空中升级</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8、信息数据安全性</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★1）为确保系统完整及信息数据安全性，投标产品系统需通过信息安全等级保护三级备案。（提供相关证明文件）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rPr>
      </w:pPr>
      <w:r>
        <w:rPr>
          <w:rFonts w:hint="eastAsia" w:ascii="仿宋" w:hAnsi="仿宋" w:eastAsia="仿宋" w:cs="仿宋"/>
          <w:color w:val="auto"/>
        </w:rPr>
        <w:t>★2）</w:t>
      </w:r>
      <w:r>
        <w:rPr>
          <w:rFonts w:hint="eastAsia" w:ascii="仿宋" w:hAnsi="仿宋" w:eastAsia="仿宋" w:cs="仿宋"/>
          <w:color w:val="auto"/>
          <w:lang w:eastAsia="zh-CN"/>
        </w:rPr>
        <w:t>承诺中标后</w:t>
      </w:r>
      <w:r>
        <w:rPr>
          <w:rFonts w:hint="eastAsia" w:ascii="仿宋" w:hAnsi="仿宋" w:eastAsia="仿宋" w:cs="仿宋"/>
          <w:color w:val="auto"/>
        </w:rPr>
        <w:t>冷链监测设</w:t>
      </w:r>
      <w:bookmarkEnd w:id="2"/>
      <w:r>
        <w:rPr>
          <w:rFonts w:hint="eastAsia" w:ascii="仿宋" w:hAnsi="仿宋" w:eastAsia="仿宋" w:cs="仿宋"/>
        </w:rPr>
        <w:t>备系统平台与我中心现使用的冷链监测管理系统平台数据互联。</w:t>
      </w:r>
    </w:p>
    <w:p>
      <w:pPr>
        <w:pStyle w:val="2"/>
        <w:spacing w:line="276" w:lineRule="auto"/>
        <w:rPr>
          <w:rFonts w:hint="eastAsia" w:ascii="仿宋" w:hAnsi="仿宋" w:eastAsia="仿宋" w:cs="仿宋"/>
          <w:snapToGrid w:val="0"/>
          <w:sz w:val="27"/>
          <w:szCs w:val="27"/>
        </w:rPr>
      </w:pPr>
    </w:p>
    <w:p>
      <w:pPr>
        <w:pStyle w:val="5"/>
        <w:widowControl w:val="0"/>
        <w:autoSpaceDE w:val="0"/>
        <w:autoSpaceDN w:val="0"/>
        <w:adjustRightInd w:val="0"/>
        <w:spacing w:line="500" w:lineRule="exact"/>
        <w:ind w:left="568" w:firstLine="0"/>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二、商务要求</w:t>
      </w:r>
    </w:p>
    <w:bookmarkEnd w:id="1"/>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供应商的报价应包括：人员费用、运输费用、设备费、管理费及税金等为完成磋商文件规定全部内容所需的一切应有费用。</w:t>
      </w:r>
    </w:p>
    <w:p>
      <w:pPr>
        <w:spacing w:line="400" w:lineRule="exact"/>
        <w:ind w:firstLine="482" w:firstLineChars="200"/>
        <w:rPr>
          <w:rFonts w:hint="eastAsia" w:ascii="仿宋" w:hAnsi="仿宋" w:eastAsia="仿宋" w:cs="仿宋"/>
          <w:snapToGrid w:val="0"/>
          <w:lang w:val="zh-CN"/>
        </w:rPr>
      </w:pPr>
      <w:r>
        <w:rPr>
          <w:rFonts w:hint="eastAsia" w:ascii="仿宋" w:hAnsi="仿宋" w:eastAsia="仿宋" w:cs="仿宋"/>
          <w:b/>
          <w:bCs/>
          <w:snapToGrid w:val="0"/>
        </w:rPr>
        <w:t>（二）交货地点：采购人指定地点</w:t>
      </w:r>
    </w:p>
    <w:p>
      <w:pPr>
        <w:spacing w:line="400" w:lineRule="exact"/>
        <w:ind w:firstLine="48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b/>
          <w:bCs/>
          <w:snapToGrid w:val="0"/>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3"/>
        </w:numPr>
        <w:spacing w:line="400" w:lineRule="exact"/>
        <w:ind w:firstLine="482" w:firstLineChars="200"/>
        <w:rPr>
          <w:rFonts w:hint="eastAsia" w:ascii="仿宋" w:hAnsi="仿宋" w:eastAsia="仿宋" w:cs="仿宋"/>
          <w:b/>
          <w:bCs/>
          <w:snapToGrid w:val="0"/>
        </w:rPr>
      </w:pPr>
      <w:r>
        <w:rPr>
          <w:rFonts w:hint="eastAsia" w:ascii="仿宋" w:hAnsi="仿宋" w:eastAsia="仿宋" w:cs="仿宋"/>
          <w:b/>
          <w:bCs/>
          <w:snapToGrid w:val="0"/>
        </w:rPr>
        <w:t>售后服务</w:t>
      </w:r>
    </w:p>
    <w:p>
      <w:pPr>
        <w:spacing w:line="400" w:lineRule="exact"/>
        <w:ind w:firstLine="482" w:firstLineChars="200"/>
        <w:rPr>
          <w:rFonts w:hint="eastAsia" w:ascii="仿宋" w:hAnsi="仿宋" w:eastAsia="仿宋" w:cs="仿宋"/>
        </w:rPr>
      </w:pPr>
      <w:r>
        <w:rPr>
          <w:rFonts w:hint="eastAsia" w:ascii="仿宋" w:hAnsi="仿宋" w:eastAsia="仿宋" w:cs="仿宋"/>
          <w:b/>
          <w:bCs/>
        </w:rPr>
        <w:t>1.保修及售后服务：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ascii="仿宋" w:hAnsi="仿宋" w:eastAsia="仿宋" w:cs="仿宋"/>
          <w:snapToGrid w:val="0"/>
          <w:color w:val="FF0000"/>
        </w:rPr>
      </w:pPr>
      <w:r>
        <w:rPr>
          <w:rFonts w:hint="eastAsia" w:ascii="仿宋" w:hAnsi="仿宋" w:eastAsia="仿宋" w:cs="仿宋"/>
          <w:b/>
          <w:bCs/>
        </w:rPr>
        <w:t>2.供货要求：</w:t>
      </w:r>
      <w:r>
        <w:rPr>
          <w:rFonts w:hint="eastAsia" w:ascii="仿宋" w:hAnsi="仿宋" w:eastAsia="仿宋" w:cs="仿宋"/>
        </w:rPr>
        <w:t>供应商成交以后，合同签订之日起15个日历天内完成，否则，采购人有权解除合同，由此造成的全部损失，由成交供应商全部承担。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rPr>
        <w:t>3.</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rPr>
        <w:t>15</w:t>
      </w:r>
      <w:r>
        <w:rPr>
          <w:rFonts w:hint="eastAsia" w:ascii="仿宋" w:hAnsi="仿宋" w:eastAsia="仿宋" w:cs="仿宋"/>
          <w:snapToGrid w:val="0"/>
          <w:lang w:val="zh-CN"/>
        </w:rPr>
        <w:t>个工作日内结清全部货款。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（四）验收方法及标准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按照签订的采购合同、技术要求及标准对每一环节、标准的履约情况进行验收。验收结束后，应当出具验收书，由双方共同签署。</w:t>
      </w:r>
    </w:p>
    <w:p>
      <w:pPr>
        <w:pStyle w:val="2"/>
        <w:spacing w:line="400" w:lineRule="exact"/>
        <w:jc w:val="center"/>
        <w:rPr>
          <w:rFonts w:hint="eastAsia" w:hAnsi="宋体" w:cs="宋体"/>
          <w:b/>
          <w:color w:val="000000"/>
          <w:sz w:val="32"/>
          <w:szCs w:val="32"/>
          <w:lang w:val="zh-CN"/>
        </w:rPr>
      </w:pPr>
    </w:p>
    <w:p>
      <w:pPr>
        <w:pStyle w:val="2"/>
        <w:spacing w:line="400" w:lineRule="exact"/>
        <w:jc w:val="center"/>
        <w:rPr>
          <w:rFonts w:hint="eastAsia" w:hAnsi="宋体" w:cs="宋体"/>
          <w:b/>
          <w:color w:val="000000"/>
          <w:sz w:val="32"/>
          <w:szCs w:val="32"/>
          <w:lang w:val="zh-CN"/>
        </w:rPr>
      </w:pPr>
    </w:p>
    <w:p>
      <w:pPr>
        <w:pStyle w:val="2"/>
        <w:spacing w:line="400" w:lineRule="exact"/>
        <w:jc w:val="center"/>
        <w:rPr>
          <w:rFonts w:hint="eastAsia" w:hAnsi="宋体" w:cs="宋体"/>
          <w:b/>
          <w:color w:val="000000"/>
          <w:sz w:val="32"/>
          <w:szCs w:val="32"/>
          <w:lang w:val="zh-CN"/>
        </w:rPr>
      </w:pPr>
    </w:p>
    <w:p>
      <w:pPr>
        <w:rPr>
          <w:rFonts w:hint="eastAsia" w:hAnsi="宋体" w:cs="宋体"/>
          <w:b/>
          <w:color w:val="000000"/>
          <w:sz w:val="32"/>
          <w:szCs w:val="32"/>
          <w:lang w:val="zh-CN"/>
        </w:rPr>
      </w:pPr>
    </w:p>
    <w:p>
      <w:pPr>
        <w:rPr>
          <w:rFonts w:hint="eastAsia" w:hAnsi="宋体" w:cs="宋体"/>
          <w:b/>
          <w:color w:val="000000"/>
          <w:sz w:val="32"/>
          <w:szCs w:val="32"/>
          <w:lang w:val="zh-CN"/>
        </w:rPr>
      </w:pPr>
    </w:p>
    <w:p>
      <w:pPr>
        <w:rPr>
          <w:rFonts w:hint="eastAsia" w:hAnsi="宋体" w:cs="宋体"/>
          <w:b/>
          <w:color w:val="000000"/>
          <w:sz w:val="32"/>
          <w:szCs w:val="32"/>
          <w:lang w:val="zh-CN"/>
        </w:rPr>
      </w:pPr>
    </w:p>
    <w:p>
      <w:pPr>
        <w:rPr>
          <w:rFonts w:hint="eastAsia" w:hAnsi="宋体" w:cs="宋体"/>
          <w:b/>
          <w:color w:val="000000"/>
          <w:sz w:val="32"/>
          <w:szCs w:val="32"/>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7EB16"/>
    <w:multiLevelType w:val="singleLevel"/>
    <w:tmpl w:val="02F7EB16"/>
    <w:lvl w:ilvl="0" w:tentative="0">
      <w:start w:val="3"/>
      <w:numFmt w:val="chineseCounting"/>
      <w:suff w:val="nothing"/>
      <w:lvlText w:val="（%1）"/>
      <w:lvlJc w:val="left"/>
      <w:rPr>
        <w:rFonts w:hint="eastAsia"/>
      </w:rPr>
    </w:lvl>
  </w:abstractNum>
  <w:abstractNum w:abstractNumId="1">
    <w:nsid w:val="20451E2C"/>
    <w:multiLevelType w:val="singleLevel"/>
    <w:tmpl w:val="20451E2C"/>
    <w:lvl w:ilvl="0" w:tentative="0">
      <w:start w:val="2"/>
      <w:numFmt w:val="chineseCounting"/>
      <w:suff w:val="nothing"/>
      <w:lvlText w:val="（%1）"/>
      <w:lvlJc w:val="left"/>
      <w:rPr>
        <w:rFonts w:hint="eastAsia"/>
      </w:rPr>
    </w:lvl>
  </w:abstractNum>
  <w:abstractNum w:abstractNumId="2">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6CF45BB0"/>
    <w:rsid w:val="49F366C5"/>
    <w:rsid w:val="6CF45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cs="Courier New"/>
      <w:kern w:val="2"/>
      <w:szCs w:val="21"/>
    </w:rPr>
  </w:style>
  <w:style w:type="paragraph" w:customStyle="1" w:styleId="5">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2023-08-17T06:43:00Z</dcterms:created>
  <dc:creator>啊鲸</dc:creator>
  <cp:lastModifiedBy>周敏</cp:lastModifiedBy>
  <dcterms:modified xsi:type="dcterms:W3CDTF">2023-08-18T02:17:30Z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94F7489A5BF04FEBAE0C10B70DABECDD_11</vt:lpwstr>
  </property>
</Properties>
</file>