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bCs/>
          <w:color w:val="000000"/>
          <w:kern w:val="0"/>
          <w:sz w:val="32"/>
          <w:szCs w:val="32"/>
          <w:lang w:val="en-US" w:eastAsia="zh-CN" w:bidi="ar"/>
        </w:rPr>
        <w:t>采购需求</w:t>
      </w:r>
    </w:p>
    <w:p>
      <w:pPr>
        <w:pStyle w:val="4"/>
        <w:ind w:firstLine="300" w:firstLineChars="100"/>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30"/>
          <w:szCs w:val="30"/>
          <w:lang w:val="zh-CN" w:eastAsia="zh-CN" w:bidi="ar"/>
        </w:rPr>
        <w:t>一、采购内容</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
        <w:gridCol w:w="1214"/>
        <w:gridCol w:w="625"/>
        <w:gridCol w:w="775"/>
        <w:gridCol w:w="5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品名</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单位</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1"/>
                <w:szCs w:val="21"/>
                <w:u w:val="none"/>
                <w:lang w:eastAsia="zh-CN"/>
              </w:rPr>
            </w:pPr>
            <w:r>
              <w:rPr>
                <w:rFonts w:hint="eastAsia" w:ascii="仿宋" w:hAnsi="仿宋" w:eastAsia="仿宋" w:cs="仿宋"/>
                <w:b/>
                <w:bCs/>
                <w:i w:val="0"/>
                <w:iCs w:val="0"/>
                <w:color w:val="000000"/>
                <w:sz w:val="21"/>
                <w:szCs w:val="21"/>
                <w:u w:val="none"/>
                <w:lang w:eastAsia="zh-CN"/>
              </w:rPr>
              <w:t>参数及要求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中性罗氏培养基*</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600支</w:t>
            </w:r>
          </w:p>
        </w:tc>
        <w:tc>
          <w:tcPr>
            <w:tcW w:w="6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1.产品规格：每支培养基含量7ML；管上有喷墨印刷标签，含品名，批号，制造日期，有效日期。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2.中性罗氏培养基50支/盒，药敏培养基25支/盒。</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3.培养管规格25MM×80MM,使用螺旋盖无毒，无菌，透明塑料PC管，管内培养基斜面长度，管与管之间误差±0.3MM;盒内必须有格板防止倾倒。</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4.斜面占培养管长度的2/3-4/5；培养基成品表面平滑，触之有一定韧度，背面气泡不得多于2个；培养基颜色一致。</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5.培养管需用专用试管，具有透气，防污染的功能。提供专用试管的相关证明文件。</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6.药敏培养基含有下列品名和浓度：对硝基苯甲酸：500ug/ml,异烟肼;0.2ug/ml,利福平：40ug/ml,卡那霉素:30ug/ml,氧氟沙星：2ug/ml.</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7.污染试验:培养基放入35℃-37℃孵育箱内孵育24-48小时，应无细菌生长；生长试验：接种H37Ra结核分枝杆菌至21天可见菌落生长。</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8.每批次培养基均提供检测报告（含污染试验与生长试验等）。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9.中性罗氏培养基有效期为6个月，药敏罗氏培养基有效期为3个月。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10.运输条件：在2℃-8℃环境保存（可在8℃-25℃温度范围7天内短时运输）。此条件需在产品注册证中明确注明。</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11.上述培养基及包装规格必须全部具备二类医疗器械产品注册证。所有培养基名称需明确体现在注册证中。药敏培养基注册证中必须明确注明所需产品的具体名称和药物成分，浓度等信息，缺少一种所需产品的内容即视为不能满足供货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对硝基苯甲酸</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600支</w:t>
            </w:r>
          </w:p>
        </w:tc>
        <w:tc>
          <w:tcPr>
            <w:tcW w:w="64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药敏试验RFP  *</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600支</w:t>
            </w:r>
          </w:p>
        </w:tc>
        <w:tc>
          <w:tcPr>
            <w:tcW w:w="64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药敏试验INH  *</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600支</w:t>
            </w:r>
          </w:p>
        </w:tc>
        <w:tc>
          <w:tcPr>
            <w:tcW w:w="64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药敏实验LFX*</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600支</w:t>
            </w:r>
          </w:p>
        </w:tc>
        <w:tc>
          <w:tcPr>
            <w:tcW w:w="64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药敏实验MFX*</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600支</w:t>
            </w:r>
          </w:p>
        </w:tc>
        <w:tc>
          <w:tcPr>
            <w:tcW w:w="64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药敏实验AK*</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600支</w:t>
            </w:r>
          </w:p>
        </w:tc>
        <w:tc>
          <w:tcPr>
            <w:tcW w:w="64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药敏试验cpm  *</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600支</w:t>
            </w:r>
          </w:p>
        </w:tc>
        <w:tc>
          <w:tcPr>
            <w:tcW w:w="64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药敏试验th</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600支</w:t>
            </w:r>
          </w:p>
        </w:tc>
        <w:tc>
          <w:tcPr>
            <w:tcW w:w="64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药敏试验e</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600支</w:t>
            </w:r>
          </w:p>
        </w:tc>
        <w:tc>
          <w:tcPr>
            <w:tcW w:w="64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药敏试验套组  *</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盒</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一盒为5人份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结核抗原</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盒</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一盒20人分</w:t>
            </w:r>
          </w:p>
        </w:tc>
      </w:tr>
    </w:tbl>
    <w:p>
      <w:pPr>
        <w:pStyle w:val="4"/>
        <w:rPr>
          <w:rFonts w:hint="eastAsia"/>
          <w:lang w:eastAsia="zh-CN"/>
        </w:rPr>
      </w:pPr>
    </w:p>
    <w:p>
      <w:pPr>
        <w:rPr>
          <w:rFonts w:hint="eastAsia"/>
          <w:lang w:eastAsia="zh-CN"/>
        </w:rPr>
      </w:pPr>
    </w:p>
    <w:p>
      <w:pPr>
        <w:pStyle w:val="4"/>
        <w:ind w:firstLine="300" w:firstLineChars="100"/>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30"/>
          <w:szCs w:val="30"/>
          <w:lang w:val="zh-CN" w:eastAsia="zh-CN" w:bidi="ar"/>
        </w:rPr>
        <w:t>二、采购商务要求</w:t>
      </w:r>
    </w:p>
    <w:p>
      <w:pPr>
        <w:pStyle w:val="4"/>
        <w:numPr>
          <w:ilvl w:val="0"/>
          <w:numId w:val="0"/>
        </w:numPr>
        <w:ind w:left="420" w:leftChars="0"/>
        <w:jc w:val="center"/>
        <w:rPr>
          <w:rFonts w:hint="eastAsia" w:ascii="仿宋" w:hAnsi="仿宋" w:eastAsia="仿宋" w:cs="仿宋"/>
          <w:snapToGrid w:val="0"/>
          <w:kern w:val="2"/>
          <w:sz w:val="27"/>
          <w:szCs w:val="27"/>
          <w:lang w:val="en-US" w:eastAsia="zh-CN" w:bidi="ar-SA"/>
        </w:rPr>
      </w:pPr>
    </w:p>
    <w:p>
      <w:pPr>
        <w:spacing w:line="400" w:lineRule="exact"/>
        <w:ind w:firstLine="562" w:firstLineChars="200"/>
        <w:rPr>
          <w:rFonts w:hint="eastAsia" w:ascii="仿宋" w:hAnsi="仿宋" w:eastAsia="仿宋" w:cs="仿宋"/>
          <w:snapToGrid w:val="0"/>
          <w:kern w:val="2"/>
          <w:sz w:val="28"/>
          <w:szCs w:val="28"/>
          <w:lang w:val="en-US" w:eastAsia="zh-CN" w:bidi="ar-SA"/>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供应商的报价应包括：人员费用、运输费用、设备费、管理费及税金等为完成磋商文件规定全部内容所需的一切应有费用。</w:t>
      </w:r>
    </w:p>
    <w:p>
      <w:pPr>
        <w:spacing w:line="400" w:lineRule="exact"/>
        <w:ind w:firstLine="562" w:firstLineChars="200"/>
        <w:rPr>
          <w:rFonts w:hint="eastAsia" w:ascii="仿宋" w:hAnsi="仿宋" w:eastAsia="仿宋" w:cs="仿宋"/>
          <w:snapToGrid w:val="0"/>
          <w:sz w:val="28"/>
          <w:szCs w:val="28"/>
          <w:lang w:val="zh-CN" w:eastAsia="zh-CN"/>
        </w:rPr>
      </w:pPr>
      <w:r>
        <w:rPr>
          <w:rFonts w:hint="eastAsia" w:ascii="仿宋" w:hAnsi="仿宋" w:eastAsia="仿宋" w:cs="仿宋"/>
          <w:b/>
          <w:bCs/>
          <w:snapToGrid w:val="0"/>
          <w:sz w:val="28"/>
          <w:szCs w:val="28"/>
          <w:lang w:eastAsia="zh-CN"/>
        </w:rPr>
        <w:t>（二）交货地点：采购人指定地点</w:t>
      </w:r>
    </w:p>
    <w:p>
      <w:pPr>
        <w:spacing w:line="4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b/>
          <w:bCs/>
          <w:snapToGrid w:val="0"/>
          <w:sz w:val="28"/>
          <w:szCs w:val="28"/>
          <w:lang w:eastAsia="zh-CN"/>
        </w:rPr>
        <w:t>三）人员培训要求</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货物安装、调试、验收合格后，</w:t>
      </w:r>
      <w:r>
        <w:rPr>
          <w:rFonts w:hint="eastAsia" w:ascii="仿宋" w:hAnsi="仿宋" w:eastAsia="仿宋" w:cs="仿宋"/>
          <w:sz w:val="28"/>
          <w:szCs w:val="28"/>
          <w:lang w:eastAsia="zh-CN"/>
        </w:rPr>
        <w:t>成交</w:t>
      </w:r>
      <w:r>
        <w:rPr>
          <w:rFonts w:hint="eastAsia" w:ascii="仿宋" w:hAnsi="仿宋" w:eastAsia="仿宋" w:cs="仿宋"/>
          <w:sz w:val="28"/>
          <w:szCs w:val="28"/>
        </w:rPr>
        <w:t>人应对</w:t>
      </w:r>
      <w:r>
        <w:rPr>
          <w:rFonts w:hint="eastAsia" w:ascii="仿宋" w:hAnsi="仿宋" w:eastAsia="仿宋" w:cs="仿宋"/>
          <w:sz w:val="28"/>
          <w:szCs w:val="28"/>
          <w:lang w:eastAsia="zh-CN"/>
        </w:rPr>
        <w:t>采购</w:t>
      </w:r>
      <w:r>
        <w:rPr>
          <w:rFonts w:hint="eastAsia" w:ascii="仿宋" w:hAnsi="仿宋" w:eastAsia="仿宋" w:cs="仿宋"/>
          <w:sz w:val="28"/>
          <w:szCs w:val="28"/>
        </w:rPr>
        <w:t>人的相关人员进行免费现场培训。</w:t>
      </w:r>
    </w:p>
    <w:p>
      <w:pPr>
        <w:numPr>
          <w:ilvl w:val="0"/>
          <w:numId w:val="0"/>
        </w:numPr>
        <w:spacing w:line="400" w:lineRule="exact"/>
        <w:ind w:firstLine="562" w:firstLineChars="200"/>
        <w:rPr>
          <w:rFonts w:hint="eastAsia" w:ascii="仿宋" w:hAnsi="仿宋" w:eastAsia="仿宋" w:cs="仿宋"/>
          <w:b/>
          <w:bCs/>
          <w:snapToGrid w:val="0"/>
          <w:sz w:val="28"/>
          <w:szCs w:val="28"/>
          <w:lang w:eastAsia="zh-CN"/>
        </w:rPr>
      </w:pPr>
      <w:r>
        <w:rPr>
          <w:rFonts w:hint="eastAsia" w:ascii="仿宋" w:hAnsi="仿宋" w:eastAsia="仿宋" w:cs="仿宋"/>
          <w:b/>
          <w:bCs/>
          <w:snapToGrid w:val="0"/>
          <w:sz w:val="28"/>
          <w:szCs w:val="28"/>
          <w:lang w:eastAsia="zh-CN"/>
        </w:rPr>
        <w:t>（四）售后服务</w:t>
      </w:r>
    </w:p>
    <w:p>
      <w:pPr>
        <w:spacing w:line="4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1.保修及售后服务：</w:t>
      </w:r>
      <w:r>
        <w:rPr>
          <w:rFonts w:hint="eastAsia" w:ascii="仿宋" w:hAnsi="仿宋" w:eastAsia="仿宋" w:cs="仿宋"/>
          <w:sz w:val="28"/>
          <w:szCs w:val="28"/>
        </w:rPr>
        <w:t>依据商品的保修条款及售后服务条款，提供原厂质保，质保期按照国家规定，且不低于所供品牌向用户承诺的质保期限。</w:t>
      </w:r>
      <w:r>
        <w:rPr>
          <w:rFonts w:hint="eastAsia" w:ascii="仿宋" w:hAnsi="仿宋" w:eastAsia="仿宋" w:cs="仿宋"/>
          <w:sz w:val="28"/>
          <w:szCs w:val="28"/>
          <w:lang w:eastAsia="zh-CN"/>
        </w:rPr>
        <w:t>磋商</w:t>
      </w:r>
      <w:r>
        <w:rPr>
          <w:rFonts w:hint="eastAsia" w:ascii="仿宋" w:hAnsi="仿宋" w:eastAsia="仿宋" w:cs="仿宋"/>
          <w:sz w:val="28"/>
          <w:szCs w:val="28"/>
        </w:rPr>
        <w:t>文件另有约定的从其约定。质保期从货物验收合格后算起。</w:t>
      </w:r>
    </w:p>
    <w:p>
      <w:pPr>
        <w:spacing w:line="400" w:lineRule="exact"/>
        <w:ind w:firstLine="562" w:firstLineChars="200"/>
        <w:rPr>
          <w:rFonts w:hint="eastAsia" w:ascii="仿宋" w:hAnsi="仿宋" w:eastAsia="仿宋" w:cs="仿宋"/>
          <w:snapToGrid w:val="0"/>
          <w:color w:val="FF0000"/>
          <w:sz w:val="28"/>
          <w:szCs w:val="28"/>
        </w:rPr>
      </w:pPr>
      <w:r>
        <w:rPr>
          <w:rFonts w:hint="eastAsia" w:ascii="仿宋" w:hAnsi="仿宋" w:eastAsia="仿宋" w:cs="仿宋"/>
          <w:b/>
          <w:bCs/>
          <w:sz w:val="28"/>
          <w:szCs w:val="28"/>
        </w:rPr>
        <w:t>2.供货要求：</w:t>
      </w:r>
      <w:r>
        <w:rPr>
          <w:rFonts w:hint="eastAsia" w:ascii="仿宋" w:hAnsi="仿宋" w:eastAsia="仿宋" w:cs="仿宋"/>
          <w:sz w:val="28"/>
          <w:szCs w:val="28"/>
        </w:rPr>
        <w:t>供应商成交以后，合同签订之日起</w:t>
      </w:r>
      <w:r>
        <w:rPr>
          <w:rFonts w:hint="eastAsia" w:ascii="仿宋" w:hAnsi="仿宋" w:eastAsia="仿宋" w:cs="仿宋"/>
          <w:sz w:val="28"/>
          <w:szCs w:val="28"/>
          <w:lang w:val="en-US" w:eastAsia="zh-CN"/>
        </w:rPr>
        <w:t>20个日历天内完成</w:t>
      </w:r>
      <w:r>
        <w:rPr>
          <w:rFonts w:hint="eastAsia" w:ascii="仿宋" w:hAnsi="仿宋" w:eastAsia="仿宋" w:cs="仿宋"/>
          <w:sz w:val="28"/>
          <w:szCs w:val="28"/>
        </w:rPr>
        <w:t>，否则，采购人有权解除合同，由此造成的全部损失，由成交供应商全部承担。</w:t>
      </w:r>
    </w:p>
    <w:p>
      <w:pPr>
        <w:spacing w:line="400" w:lineRule="exact"/>
        <w:ind w:firstLine="560" w:firstLineChars="200"/>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spacing w:line="400" w:lineRule="exact"/>
        <w:ind w:firstLine="562" w:firstLineChars="200"/>
        <w:rPr>
          <w:rFonts w:hint="eastAsia" w:ascii="仿宋" w:hAnsi="仿宋" w:eastAsia="仿宋" w:cs="仿宋"/>
          <w:sz w:val="28"/>
          <w:szCs w:val="28"/>
        </w:rPr>
      </w:pPr>
      <w:r>
        <w:rPr>
          <w:rFonts w:hint="eastAsia" w:ascii="仿宋" w:hAnsi="仿宋" w:eastAsia="仿宋" w:cs="仿宋"/>
          <w:b/>
          <w:bCs/>
          <w:snapToGrid w:val="0"/>
          <w:sz w:val="28"/>
          <w:szCs w:val="28"/>
          <w:lang w:val="en-US" w:eastAsia="zh-CN"/>
        </w:rPr>
        <w:t>（五）付款及结算方式：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spacing w:line="40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（六）</w:t>
      </w:r>
      <w:r>
        <w:rPr>
          <w:rFonts w:hint="eastAsia" w:ascii="仿宋" w:hAnsi="仿宋" w:eastAsia="仿宋" w:cs="仿宋"/>
          <w:snapToGrid w:val="0"/>
          <w:sz w:val="28"/>
          <w:szCs w:val="28"/>
          <w:lang w:val="en-US" w:eastAsia="zh-CN"/>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4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七</w:t>
      </w:r>
      <w:r>
        <w:rPr>
          <w:rFonts w:hint="eastAsia" w:ascii="仿宋" w:hAnsi="仿宋" w:eastAsia="仿宋" w:cs="仿宋"/>
          <w:b/>
          <w:bCs/>
          <w:sz w:val="28"/>
          <w:szCs w:val="28"/>
        </w:rPr>
        <w:t>）验收方法及标准</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spacing w:line="40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（八）其它说明</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为鼓励不同品牌的充分竞争，如某产品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磋商文件的相关要求。</w:t>
      </w:r>
    </w:p>
    <w:p>
      <w:pPr>
        <w:pStyle w:val="7"/>
        <w:numPr>
          <w:ilvl w:val="0"/>
          <w:numId w:val="0"/>
        </w:numPr>
        <w:ind w:firstLine="560" w:firstLineChars="200"/>
        <w:rPr>
          <w:rFonts w:hint="eastAsia" w:ascii="仿宋" w:hAnsi="仿宋" w:eastAsia="仿宋" w:cs="仿宋"/>
          <w:sz w:val="28"/>
          <w:szCs w:val="28"/>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6EE11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uiPriority w:val="0"/>
    <w:pPr>
      <w:ind w:firstLine="630"/>
    </w:pPr>
    <w:rPr>
      <w:rFonts w:eastAsia="仿宋_GB2312"/>
      <w:sz w:val="28"/>
      <w:szCs w:val="20"/>
    </w:rPr>
  </w:style>
  <w:style w:type="paragraph" w:styleId="3">
    <w:name w:val="envelope return"/>
    <w:basedOn w:val="1"/>
    <w:qFormat/>
    <w:uiPriority w:val="0"/>
    <w:pPr>
      <w:snapToGrid w:val="0"/>
    </w:pPr>
    <w:rPr>
      <w:rFonts w:ascii="Arial" w:hAnsi="Arial"/>
    </w:rPr>
  </w:style>
  <w:style w:type="paragraph" w:styleId="4">
    <w:name w:val="Plain Text"/>
    <w:basedOn w:val="1"/>
    <w:next w:val="1"/>
    <w:uiPriority w:val="0"/>
    <w:rPr>
      <w:rFonts w:ascii="宋体" w:hAnsi="Courier New"/>
      <w:szCs w:val="20"/>
    </w:rPr>
  </w:style>
  <w:style w:type="paragraph" w:customStyle="1" w:styleId="7">
    <w:name w:val="模板普通正文"/>
    <w:basedOn w:val="2"/>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2023-11-06T01:52:13Z</dcterms:created>
  <dc:creator>Administrator</dc:creator>
  <cp:lastModifiedBy>周敏</cp:lastModifiedBy>
  <dcterms:modified xsi:type="dcterms:W3CDTF">2023-11-06T01:53:07Z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C100A50AB1D645B0BDC1B43ED0535296_12</vt:lpwstr>
  </property>
</Properties>
</file>