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outlineLvl w:val="0"/>
        <w:rPr>
          <w:rFonts w:hint="eastAsia" w:hAnsi="宋体"/>
          <w:b/>
          <w:color w:val="000000"/>
          <w:szCs w:val="24"/>
        </w:rPr>
      </w:pPr>
      <w:r>
        <w:rPr>
          <w:rFonts w:hint="eastAsia" w:hAnsi="宋体" w:cs="宋体"/>
          <w:b/>
          <w:color w:val="000000"/>
          <w:sz w:val="32"/>
          <w:szCs w:val="32"/>
          <w:lang w:val="zh-CN"/>
        </w:rPr>
        <w:t>采购项目服务需求及技术要求</w:t>
      </w:r>
    </w:p>
    <w:p>
      <w:pPr>
        <w:pStyle w:val="2"/>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2"/>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w:t>
      </w:r>
      <w:bookmarkStart w:id="2" w:name="_GoBack"/>
      <w:bookmarkEnd w:id="2"/>
      <w:r>
        <w:rPr>
          <w:rFonts w:hint="eastAsia" w:ascii="仿宋" w:hAnsi="仿宋" w:eastAsia="仿宋" w:cs="仿宋"/>
          <w:b/>
          <w:bCs/>
          <w:szCs w:val="24"/>
        </w:rPr>
        <w:t>提供所投进口产品的海关报关单等证明材料。</w:t>
      </w:r>
      <w:bookmarkStart w:id="0" w:name="_Toc24273"/>
    </w:p>
    <w:p>
      <w:pPr>
        <w:pStyle w:val="2"/>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0"/>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bookmarkStart w:id="1" w:name="_Toc285612596"/>
      <w:r>
        <w:rPr>
          <w:rFonts w:hint="eastAsia" w:ascii="仿宋" w:hAnsi="仿宋" w:eastAsia="仿宋" w:cs="仿宋"/>
          <w:sz w:val="24"/>
          <w:szCs w:val="24"/>
        </w:rPr>
        <w:t>一、</w:t>
      </w:r>
      <w:r>
        <w:rPr>
          <w:rFonts w:hint="eastAsia" w:ascii="仿宋" w:hAnsi="仿宋" w:eastAsia="仿宋" w:cs="仿宋"/>
          <w:sz w:val="24"/>
          <w:szCs w:val="24"/>
        </w:rPr>
        <w:tab/>
      </w:r>
      <w:r>
        <w:rPr>
          <w:rFonts w:hint="eastAsia" w:ascii="仿宋" w:hAnsi="仿宋" w:eastAsia="仿宋" w:cs="仿宋"/>
          <w:sz w:val="24"/>
          <w:szCs w:val="24"/>
        </w:rPr>
        <w:t>推荐参数</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1、Ⅱ级A2型生物安全柜，30%气体外排，70%气体循环；</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2、工作区宽度≥1500mm；</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3、前窗10度倾角设计，方便操作；</w:t>
      </w:r>
      <w:r>
        <w:rPr>
          <w:rFonts w:hint="eastAsia" w:ascii="仿宋" w:hAnsi="仿宋" w:eastAsia="仿宋" w:cs="仿宋"/>
          <w:sz w:val="24"/>
          <w:szCs w:val="24"/>
        </w:rPr>
        <w:tab/>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4、所有污染部位均应处于负压状态或被负压通道和负压通风系统包围；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5、具有气流隔断技术，沿玻璃门上沿缝隙有负压气流阻断保护，防止工作区内外气体交互；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★6、平板式工作台，一体成型；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★7、主过滤器：采用超高效过滤器ULPA，过滤效率99.9995%@0.12um，工作区洁净度等级10级；</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前窗玻璃：使用光学透视清晰、清洁和消毒时不影响前窗玻璃的可视度；单层抗冲击性强的防紫外线钢化玻璃，单层玻璃厚度不低于6mm；玻璃门采用手动升降，不得采用电动升降玻璃门，防止突发断电无法关闭玻璃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9、标配4只万向脚轮，4只底脚不锈钢材质，高度可调，调节螺栓内置，无裸露螺纹，清洁方便，防止微生物滋生；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10、负压通道专门设计异物过滤装置，防止纸屑等异物通过负压通道进入风机/过滤器影响产品正常运行；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11、风机：高性能静音风机，提供稳定的气流模型和层流，高性能风机有效延长过滤器的使用寿命；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12、风速：下降风速≥0.28m/s；流入风速≥0.55m/s；</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13、人员保护：碘化钾法测试，前窗操作口的保护因子≥1×10</w:t>
      </w:r>
      <w:r>
        <w:rPr>
          <w:rFonts w:hint="eastAsia" w:ascii="仿宋" w:hAnsi="仿宋" w:eastAsia="仿宋" w:cs="仿宋"/>
          <w:sz w:val="24"/>
          <w:szCs w:val="24"/>
          <w:vertAlign w:val="superscript"/>
        </w:rPr>
        <w:t>5</w:t>
      </w:r>
      <w:r>
        <w:rPr>
          <w:rFonts w:hint="eastAsia" w:ascii="仿宋" w:hAnsi="仿宋" w:eastAsia="仿宋" w:cs="仿宋"/>
          <w:sz w:val="24"/>
          <w:szCs w:val="24"/>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14、产品保护：用YY0569标准规定方法测试，在琼脂培养皿上的枯草芽孢杆菌芽孢不超过5CFU；</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15、交叉污染保护：用YY0569标准规定方法测试，在琼脂培养皿上的枯草芽孢杆菌芽孢不超过2CFU；</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16、实时数字显示系统运行情况，其中下降气流流速和流入气流流速同时显示；显示进度0.01；</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★17、进口风压传感器，可实时监测并显示正压区和负压区的压力，压力变化超限时自动声光报警。同时可实时监测过滤器阻力，数字显示过滤器剩余使用寿命，在使用寿命剩余10%时自动提示；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★18、打开前窗后，紫外灯应自动关闭，风机、荧光灯自动开始运行；关闭前窗后，风机和荧光灯自动关闭；</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rPr>
        <w:tab/>
      </w:r>
      <w:r>
        <w:rPr>
          <w:rFonts w:hint="eastAsia" w:ascii="仿宋" w:hAnsi="仿宋" w:eastAsia="仿宋" w:cs="仿宋"/>
          <w:sz w:val="24"/>
          <w:szCs w:val="24"/>
        </w:rPr>
        <w:t>19、一键式预约紫外灯消毒时间，紫外灯按照预约时间自动开启消毒功能；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20、有开门高度警示功能，开门超高或过低均有声光报警提示；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21、有监测气流波动功能，气流波动超过20%有声光报警提示；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★22、有关门监测功能，未关严门有声光报警提示；</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★23、具有国家药监总局颁发的三类医疗器械注册证书； </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b/>
          <w:bCs/>
          <w:kern w:val="0"/>
          <w:sz w:val="24"/>
          <w:szCs w:val="24"/>
          <w:lang w:val="zh-CN" w:eastAsia="zh-CN"/>
        </w:rPr>
      </w:pPr>
      <w:r>
        <w:rPr>
          <w:rFonts w:hint="eastAsia" w:ascii="仿宋" w:hAnsi="仿宋" w:eastAsia="仿宋" w:cs="仿宋"/>
          <w:sz w:val="24"/>
          <w:szCs w:val="24"/>
        </w:rPr>
        <w:t>★ 24、企业通过ISO9001 ISO13485 ISO14001 ISO45001认证。</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kern w:val="0"/>
          <w:sz w:val="24"/>
          <w:szCs w:val="24"/>
          <w:lang w:val="zh-CN" w:eastAsia="zh-CN"/>
        </w:rPr>
      </w:pPr>
      <w:r>
        <w:rPr>
          <w:rFonts w:hint="eastAsia" w:ascii="仿宋" w:hAnsi="仿宋" w:eastAsia="仿宋" w:cs="仿宋"/>
          <w:b/>
          <w:bCs/>
          <w:kern w:val="0"/>
          <w:sz w:val="24"/>
          <w:szCs w:val="24"/>
          <w:lang w:val="zh-CN" w:eastAsia="zh-CN"/>
        </w:rPr>
        <w:t>二、商务要求</w:t>
      </w:r>
    </w:p>
    <w:bookmarkEnd w:id="1"/>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（一）报价要求：</w:t>
      </w:r>
      <w:r>
        <w:rPr>
          <w:rFonts w:hint="eastAsia" w:ascii="仿宋" w:hAnsi="仿宋" w:eastAsia="仿宋" w:cs="仿宋"/>
          <w:sz w:val="24"/>
          <w:szCs w:val="24"/>
        </w:rPr>
        <w:t>供应商的报价应包括：人员费用、运输费用、设备费、管理费及税金等为完成磋商文件规定全部内容所需的一切应有费用。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napToGrid w:val="0"/>
          <w:sz w:val="24"/>
          <w:szCs w:val="24"/>
          <w:lang w:val="zh-CN"/>
        </w:rPr>
      </w:pPr>
      <w:r>
        <w:rPr>
          <w:rFonts w:hint="eastAsia" w:ascii="仿宋" w:hAnsi="仿宋" w:eastAsia="仿宋" w:cs="仿宋"/>
          <w:b/>
          <w:bCs/>
          <w:snapToGrid w:val="0"/>
          <w:sz w:val="24"/>
          <w:szCs w:val="24"/>
        </w:rPr>
        <w:t>（二）交货地点：采购人指定地点</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b/>
          <w:bCs/>
          <w:snapToGrid w:val="0"/>
          <w:sz w:val="24"/>
          <w:szCs w:val="24"/>
        </w:rPr>
        <w:t>三）人员培训要求（如有）</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货物安装、调试、验收合格后，中标人应对招标人的相关人员进行免费现场培训。</w:t>
      </w:r>
    </w:p>
    <w:p>
      <w:pPr>
        <w:keepNext w:val="0"/>
        <w:keepLines w:val="0"/>
        <w:pageBreakBefore w:val="0"/>
        <w:widowControl w:val="0"/>
        <w:numPr>
          <w:ilvl w:val="0"/>
          <w:numId w:val="1"/>
        </w:numPr>
        <w:kinsoku/>
        <w:wordWrap/>
        <w:overflowPunct/>
        <w:topLinePunct w:val="0"/>
        <w:bidi w:val="0"/>
        <w:snapToGrid/>
        <w:spacing w:line="560" w:lineRule="exact"/>
        <w:ind w:firstLine="482" w:firstLineChars="200"/>
        <w:textAlignment w:val="auto"/>
        <w:rPr>
          <w:rFonts w:hint="eastAsia" w:ascii="仿宋" w:hAnsi="仿宋" w:eastAsia="仿宋" w:cs="仿宋"/>
          <w:b/>
          <w:bCs/>
          <w:snapToGrid w:val="0"/>
          <w:sz w:val="24"/>
          <w:szCs w:val="24"/>
        </w:rPr>
      </w:pPr>
      <w:r>
        <w:rPr>
          <w:rFonts w:hint="eastAsia" w:ascii="仿宋" w:hAnsi="仿宋" w:eastAsia="仿宋" w:cs="仿宋"/>
          <w:b/>
          <w:bCs/>
          <w:snapToGrid w:val="0"/>
          <w:sz w:val="24"/>
          <w:szCs w:val="24"/>
        </w:rPr>
        <w:t>售后服务</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1.保修及售后服务：</w:t>
      </w:r>
      <w:r>
        <w:rPr>
          <w:rFonts w:hint="eastAsia" w:ascii="仿宋" w:hAnsi="仿宋" w:eastAsia="仿宋" w:cs="仿宋"/>
          <w:sz w:val="24"/>
          <w:szCs w:val="24"/>
        </w:rPr>
        <w:t>依据商品的保修条款及售后服务条款，提供原厂质保，质保期按照国家规定，且不低于所供品牌向用户承诺的质保期限。招标文件另有约定的从其约定。质保期从货物验收合格后算起。</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napToGrid w:val="0"/>
          <w:color w:val="FF0000"/>
          <w:sz w:val="24"/>
          <w:szCs w:val="24"/>
        </w:rPr>
      </w:pPr>
      <w:r>
        <w:rPr>
          <w:rFonts w:hint="eastAsia" w:ascii="仿宋" w:hAnsi="仿宋" w:eastAsia="仿宋" w:cs="仿宋"/>
          <w:b/>
          <w:bCs/>
          <w:sz w:val="24"/>
          <w:szCs w:val="24"/>
        </w:rPr>
        <w:t>2.供货要求：</w:t>
      </w:r>
      <w:r>
        <w:rPr>
          <w:rFonts w:hint="eastAsia" w:ascii="仿宋" w:hAnsi="仿宋" w:eastAsia="仿宋" w:cs="仿宋"/>
          <w:sz w:val="24"/>
          <w:szCs w:val="24"/>
        </w:rPr>
        <w:t>供应商成交以后，合同签订之日起</w:t>
      </w:r>
      <w:r>
        <w:rPr>
          <w:rFonts w:hint="eastAsia" w:ascii="仿宋" w:hAnsi="仿宋" w:eastAsia="仿宋" w:cs="仿宋"/>
          <w:sz w:val="24"/>
          <w:szCs w:val="24"/>
          <w:lang w:val="en-US" w:eastAsia="zh-CN"/>
        </w:rPr>
        <w:t>7个日历天内完成</w:t>
      </w:r>
      <w:r>
        <w:rPr>
          <w:rFonts w:hint="eastAsia" w:ascii="仿宋" w:hAnsi="仿宋" w:eastAsia="仿宋" w:cs="仿宋"/>
          <w:sz w:val="24"/>
          <w:szCs w:val="24"/>
        </w:rPr>
        <w:t>，否则，采购人有权解除合同，由此造成的全部损失，由成交供应商全部承担。</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napToGrid w:val="0"/>
          <w:sz w:val="24"/>
          <w:szCs w:val="24"/>
          <w:lang w:val="zh-CN"/>
        </w:rPr>
      </w:pPr>
      <w:r>
        <w:rPr>
          <w:rFonts w:hint="eastAsia" w:ascii="仿宋" w:hAnsi="仿宋" w:eastAsia="仿宋" w:cs="仿宋"/>
          <w:snapToGrid w:val="0"/>
          <w:sz w:val="24"/>
          <w:szCs w:val="24"/>
        </w:rPr>
        <w:t>3.</w:t>
      </w:r>
      <w:r>
        <w:rPr>
          <w:rFonts w:hint="eastAsia" w:ascii="仿宋" w:hAnsi="仿宋" w:eastAsia="仿宋" w:cs="仿宋"/>
          <w:snapToGrid w:val="0"/>
          <w:sz w:val="24"/>
          <w:szCs w:val="24"/>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napToGrid w:val="0"/>
          <w:sz w:val="24"/>
          <w:szCs w:val="24"/>
        </w:rPr>
        <w:t>4.付款及结算方式：</w:t>
      </w:r>
      <w:r>
        <w:rPr>
          <w:rFonts w:hint="eastAsia" w:ascii="仿宋" w:hAnsi="仿宋" w:eastAsia="仿宋" w:cs="仿宋"/>
          <w:sz w:val="24"/>
          <w:szCs w:val="24"/>
        </w:rPr>
        <w:t>验收合格</w:t>
      </w:r>
      <w:r>
        <w:rPr>
          <w:rFonts w:hint="eastAsia" w:ascii="仿宋" w:hAnsi="仿宋" w:eastAsia="仿宋" w:cs="仿宋"/>
          <w:snapToGrid w:val="0"/>
          <w:sz w:val="24"/>
          <w:szCs w:val="24"/>
          <w:lang w:val="zh-CN"/>
        </w:rPr>
        <w:t>后，成交供应商按采购人要求凭国家正式发票及相关证明文件向采购人申请付款，采购人收到申请后在</w:t>
      </w:r>
      <w:r>
        <w:rPr>
          <w:rFonts w:hint="eastAsia" w:ascii="仿宋" w:hAnsi="仿宋" w:eastAsia="仿宋" w:cs="仿宋"/>
          <w:snapToGrid w:val="0"/>
          <w:sz w:val="24"/>
          <w:szCs w:val="24"/>
        </w:rPr>
        <w:t>15</w:t>
      </w:r>
      <w:r>
        <w:rPr>
          <w:rFonts w:hint="eastAsia" w:ascii="仿宋" w:hAnsi="仿宋" w:eastAsia="仿宋" w:cs="仿宋"/>
          <w:snapToGrid w:val="0"/>
          <w:sz w:val="24"/>
          <w:szCs w:val="24"/>
          <w:lang w:val="zh-CN"/>
        </w:rPr>
        <w:t>个工作日内结清全部货款。</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（四）验收方法及标准</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按照签订的采购合同、技术要求及标准对每一环节、标准的履约情况进行验收。验收结束后，应当出具验收书，由双方共同签署。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3095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kern w:val="2"/>
      <w:szCs w:val="21"/>
    </w:rPr>
  </w:style>
  <w:style w:type="paragraph" w:styleId="3">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2023-11-08T04:50:37Z</dcterms:created>
  <dc:creator>Administrator</dc:creator>
  <cp:lastModifiedBy>周敏</cp:lastModifiedBy>
  <dcterms:modified xsi:type="dcterms:W3CDTF">2023-11-08T04:50:44Z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2B5DEAF4D494492C9EF283B06C76208B_12</vt:lpwstr>
  </property>
</Properties>
</file>