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color w:val="000000"/>
          <w:kern w:val="0"/>
          <w:sz w:val="32"/>
          <w:szCs w:val="32"/>
          <w:lang w:val="en-US" w:eastAsia="zh-CN" w:bidi="ar"/>
        </w:rPr>
        <w:t>采购需求</w:t>
      </w:r>
    </w:p>
    <w:p>
      <w:pPr>
        <w:pStyle w:val="4"/>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color w:val="000000"/>
          <w:kern w:val="0"/>
          <w:sz w:val="30"/>
          <w:szCs w:val="30"/>
          <w:highlight w:val="none"/>
          <w:lang w:val="zh-CN" w:eastAsia="zh-CN" w:bidi="ar"/>
        </w:rPr>
      </w:pPr>
      <w:r>
        <w:rPr>
          <w:rFonts w:hint="eastAsia" w:ascii="黑体" w:hAnsi="黑体" w:eastAsia="黑体" w:cs="黑体"/>
          <w:color w:val="000000"/>
          <w:kern w:val="0"/>
          <w:sz w:val="30"/>
          <w:szCs w:val="30"/>
          <w:lang w:val="zh-CN" w:eastAsia="zh-CN" w:bidi="ar"/>
        </w:rPr>
        <w:t>一、采购内容及参数</w:t>
      </w:r>
    </w:p>
    <w:tbl>
      <w:tblPr>
        <w:tblStyle w:val="5"/>
        <w:tblpPr w:leftFromText="180" w:rightFromText="180" w:vertAnchor="text" w:horzAnchor="page" w:tblpX="827" w:tblpY="67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1176"/>
        <w:gridCol w:w="1956"/>
        <w:gridCol w:w="698"/>
        <w:gridCol w:w="1176"/>
        <w:gridCol w:w="3633"/>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序号</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名称</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规格</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单位</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楷体" w:hAnsi="楷体" w:eastAsia="楷体" w:cs="楷体"/>
                <w:b/>
                <w:bCs/>
                <w:sz w:val="24"/>
                <w:szCs w:val="24"/>
                <w:highlight w:val="none"/>
                <w:vertAlign w:val="baseline"/>
                <w:lang w:eastAsia="zh-CN"/>
              </w:rPr>
              <w:t>单件产品最高限价</w:t>
            </w:r>
          </w:p>
        </w:tc>
        <w:tc>
          <w:tcPr>
            <w:tcW w:w="3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参数</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9"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抽纸</w:t>
            </w:r>
          </w:p>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（包一）</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纸巾展开规格</w:t>
            </w:r>
          </w:p>
          <w:p>
            <w:pPr>
              <w:keepNext w:val="0"/>
              <w:keepLines w:val="0"/>
              <w:widowControl/>
              <w:suppressLineNumbers w:val="0"/>
              <w:jc w:val="both"/>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w:t>
            </w:r>
            <w:r>
              <w:rPr>
                <w:rFonts w:hint="eastAsia" w:ascii="仿宋" w:hAnsi="仿宋" w:eastAsia="仿宋" w:cs="仿宋"/>
                <w:i w:val="0"/>
                <w:iCs w:val="0"/>
                <w:color w:val="000000"/>
                <w:sz w:val="24"/>
                <w:szCs w:val="24"/>
                <w:highlight w:val="none"/>
                <w:u w:val="none"/>
                <w:lang w:val="en-US" w:eastAsia="zh-CN"/>
              </w:rPr>
              <w:t>175mm×175mm；100抽；每抽3层（需全压花）。</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包</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2"/>
                <w:sz w:val="21"/>
                <w:szCs w:val="21"/>
                <w:highlight w:val="none"/>
                <w:vertAlign w:val="baseline"/>
                <w:lang w:val="en-US" w:eastAsia="zh-CN" w:bidi="ar-SA"/>
              </w:rPr>
            </w:pPr>
            <w:r>
              <w:rPr>
                <w:rFonts w:hint="eastAsia" w:ascii="仿宋" w:hAnsi="仿宋" w:eastAsia="仿宋" w:cs="仿宋"/>
                <w:kern w:val="2"/>
                <w:sz w:val="21"/>
                <w:szCs w:val="21"/>
                <w:highlight w:val="none"/>
                <w:vertAlign w:val="baseline"/>
                <w:lang w:val="en-US" w:eastAsia="zh-CN" w:bidi="ar-SA"/>
              </w:rPr>
              <w:t>4元/盒</w:t>
            </w:r>
          </w:p>
        </w:tc>
        <w:tc>
          <w:tcPr>
            <w:tcW w:w="3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1.外盒规格及材质要求:尺寸不小于210mm×105mm×60mm，300g白卡纸，覆亚膜。</w:t>
            </w:r>
          </w:p>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2.纸巾主要成分：100%原生竹浆。</w:t>
            </w:r>
          </w:p>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3.纸巾无荧光剂，无甲醛，无刺激气味，使用安全。</w:t>
            </w:r>
          </w:p>
          <w:p>
            <w:pPr>
              <w:keepNext w:val="0"/>
              <w:keepLines w:val="0"/>
              <w:widowControl/>
              <w:suppressLineNumbers w:val="0"/>
              <w:jc w:val="left"/>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4.纸巾抽取时无破损、无碎纸屑（纸灰屑）。</w:t>
            </w:r>
          </w:p>
          <w:p>
            <w:pPr>
              <w:keepNext w:val="0"/>
              <w:keepLines w:val="0"/>
              <w:widowControl/>
              <w:suppressLineNumbers w:val="0"/>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val="en-US" w:eastAsia="zh-CN"/>
              </w:rPr>
              <w:t>5.提供符合 GB15979-2002《一次性使用卫生用品卫生标准》检测标准报告。</w:t>
            </w:r>
          </w:p>
        </w:tc>
        <w:tc>
          <w:tcPr>
            <w:tcW w:w="1050" w:type="dxa"/>
            <w:tcBorders>
              <w:top w:val="single" w:color="000000" w:sz="4" w:space="0"/>
              <w:left w:val="single" w:color="000000" w:sz="4" w:space="0"/>
              <w:right w:val="single" w:color="000000" w:sz="4" w:space="0"/>
            </w:tcBorders>
            <w:noWrap w:val="0"/>
            <w:vAlign w:val="center"/>
          </w:tcPr>
          <w:p>
            <w:pPr>
              <w:jc w:val="both"/>
              <w:rPr>
                <w:rFonts w:hint="eastAsia" w:ascii="仿宋" w:hAnsi="仿宋" w:eastAsia="仿宋" w:cs="仿宋"/>
                <w:kern w:val="2"/>
                <w:sz w:val="24"/>
                <w:szCs w:val="24"/>
                <w:highlight w:val="none"/>
                <w:lang w:val="en-US" w:eastAsia="zh-CN"/>
              </w:rPr>
            </w:pPr>
            <w:r>
              <w:rPr>
                <w:rFonts w:hint="eastAsia" w:ascii="仿宋" w:hAnsi="仿宋" w:eastAsia="仿宋" w:cs="仿宋"/>
                <w:kern w:val="2"/>
                <w:sz w:val="24"/>
                <w:szCs w:val="24"/>
                <w:highlight w:val="none"/>
                <w:lang w:val="en-US" w:eastAsia="zh-CN"/>
              </w:rPr>
              <w:t>中标后，按采购人设计要求印制宣传内容。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9"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洗衣凝珠（包二）</w:t>
            </w:r>
          </w:p>
        </w:tc>
        <w:tc>
          <w:tcPr>
            <w:tcW w:w="19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20±2颗/≧180g</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盒</w:t>
            </w:r>
          </w:p>
        </w:tc>
        <w:tc>
          <w:tcPr>
            <w:tcW w:w="11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kern w:val="2"/>
                <w:sz w:val="21"/>
                <w:szCs w:val="21"/>
                <w:highlight w:val="none"/>
                <w:vertAlign w:val="baseline"/>
                <w:lang w:val="en-US" w:eastAsia="zh-CN" w:bidi="ar-SA"/>
              </w:rPr>
              <w:t>40元/盒</w:t>
            </w:r>
          </w:p>
        </w:tc>
        <w:tc>
          <w:tcPr>
            <w:tcW w:w="36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适用材质：丝、绵、麻、合成纤维及混纺等多种质地织物</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2.功效：三效合一</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3.香型：成交时根据采购需求进行采购。</w:t>
            </w:r>
          </w:p>
          <w:p>
            <w:pPr>
              <w:pStyle w:val="2"/>
              <w:numPr>
                <w:ilvl w:val="0"/>
                <w:numId w:val="2"/>
              </w:numPr>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保质期不得少于12个月</w:t>
            </w:r>
          </w:p>
          <w:p>
            <w:pPr>
              <w:pStyle w:val="2"/>
              <w:numPr>
                <w:ilvl w:val="0"/>
                <w:numId w:val="2"/>
              </w:numPr>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提供与产品相关的检测报告。</w:t>
            </w:r>
          </w:p>
        </w:tc>
        <w:tc>
          <w:tcPr>
            <w:tcW w:w="1050" w:type="dxa"/>
            <w:tcBorders>
              <w:top w:val="single" w:color="000000" w:sz="4" w:space="0"/>
              <w:left w:val="single" w:color="000000" w:sz="4" w:space="0"/>
              <w:right w:val="single" w:color="000000" w:sz="4" w:space="0"/>
            </w:tcBorders>
            <w:noWrap w:val="0"/>
            <w:vAlign w:val="center"/>
          </w:tcPr>
          <w:p>
            <w:pPr>
              <w:jc w:val="both"/>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6" w:hRule="atLeast"/>
        </w:trPr>
        <w:tc>
          <w:tcPr>
            <w:tcW w:w="1038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注：</w:t>
            </w:r>
            <w:r>
              <w:rPr>
                <w:rFonts w:hint="eastAsia" w:ascii="仿宋" w:hAnsi="仿宋" w:eastAsia="仿宋" w:cs="仿宋"/>
                <w:i w:val="0"/>
                <w:iCs w:val="0"/>
                <w:color w:val="000000"/>
                <w:kern w:val="0"/>
                <w:sz w:val="24"/>
                <w:szCs w:val="24"/>
                <w:highlight w:val="none"/>
                <w:u w:val="none"/>
                <w:lang w:val="en-US" w:eastAsia="zh-CN" w:bidi="ar"/>
              </w:rPr>
              <w:t>1.职防科洗衣凝珠按2万元采购，</w:t>
            </w:r>
            <w:r>
              <w:rPr>
                <w:rFonts w:hint="eastAsia" w:ascii="仿宋" w:hAnsi="仿宋" w:eastAsia="仿宋" w:cs="仿宋"/>
                <w:b/>
                <w:bCs/>
                <w:i w:val="0"/>
                <w:iCs w:val="0"/>
                <w:color w:val="000000"/>
                <w:kern w:val="0"/>
                <w:sz w:val="24"/>
                <w:szCs w:val="24"/>
                <w:highlight w:val="none"/>
                <w:u w:val="none"/>
                <w:lang w:val="en-US" w:eastAsia="zh-CN" w:bidi="ar"/>
              </w:rPr>
              <w:t>最终数量按成交单价进行核准（数量=2万元÷成交单价）</w:t>
            </w:r>
            <w:r>
              <w:rPr>
                <w:rFonts w:hint="eastAsia" w:ascii="仿宋" w:hAnsi="仿宋" w:eastAsia="仿宋" w:cs="仿宋"/>
                <w:i w:val="0"/>
                <w:iCs w:val="0"/>
                <w:color w:val="000000"/>
                <w:kern w:val="0"/>
                <w:sz w:val="24"/>
                <w:szCs w:val="24"/>
                <w:highlight w:val="none"/>
                <w:u w:val="none"/>
                <w:lang w:val="en-US" w:eastAsia="zh-CN" w:bidi="ar"/>
              </w:rPr>
              <w:t>，2.艾防科抽纸按3万采购，</w:t>
            </w:r>
            <w:r>
              <w:rPr>
                <w:rFonts w:hint="eastAsia" w:ascii="仿宋" w:hAnsi="仿宋" w:eastAsia="仿宋" w:cs="仿宋"/>
                <w:b/>
                <w:bCs/>
                <w:i w:val="0"/>
                <w:iCs w:val="0"/>
                <w:color w:val="000000"/>
                <w:kern w:val="0"/>
                <w:sz w:val="24"/>
                <w:szCs w:val="24"/>
                <w:highlight w:val="none"/>
                <w:u w:val="none"/>
                <w:lang w:val="en-US" w:eastAsia="zh-CN" w:bidi="ar"/>
              </w:rPr>
              <w:t>最终数量按成交单价进行核准（数量=3万元÷成交单价）。</w:t>
            </w:r>
          </w:p>
          <w:p>
            <w:pPr>
              <w:keepNext w:val="0"/>
              <w:keepLines w:val="0"/>
              <w:widowControl/>
              <w:numPr>
                <w:ilvl w:val="0"/>
                <w:numId w:val="0"/>
              </w:numPr>
              <w:suppressLineNumbers w:val="0"/>
              <w:ind w:leftChars="0"/>
              <w:jc w:val="both"/>
              <w:textAlignment w:val="center"/>
              <w:rPr>
                <w:rFonts w:hint="eastAsia" w:ascii="仿宋" w:hAnsi="仿宋" w:eastAsia="仿宋" w:cs="仿宋"/>
                <w:b/>
                <w:bCs/>
                <w:i w:val="0"/>
                <w:iCs w:val="0"/>
                <w:color w:val="000000"/>
                <w:kern w:val="0"/>
                <w:sz w:val="24"/>
                <w:szCs w:val="24"/>
                <w:highlight w:val="none"/>
                <w:u w:val="none"/>
                <w:lang w:val="en-US" w:eastAsia="zh-CN" w:bidi="ar"/>
              </w:rPr>
            </w:pPr>
            <w:r>
              <w:rPr>
                <w:rFonts w:hint="eastAsia" w:ascii="仿宋" w:hAnsi="仿宋" w:eastAsia="仿宋" w:cs="仿宋"/>
                <w:b/>
                <w:bCs/>
                <w:i w:val="0"/>
                <w:iCs w:val="0"/>
                <w:color w:val="000000"/>
                <w:kern w:val="0"/>
                <w:sz w:val="24"/>
                <w:szCs w:val="24"/>
                <w:highlight w:val="none"/>
                <w:u w:val="none"/>
                <w:lang w:val="en-US" w:eastAsia="zh-CN" w:bidi="ar"/>
              </w:rPr>
              <w:t>3.开标现场，供应商必须提供所投产品的样品一份，开标结束，未中标的样品退还，中标的样品采购人留存，用于验收核对，验收结束后退还中标人，如供应商提供的样品不满足采购需求，按无效标处理。</w:t>
            </w:r>
          </w:p>
          <w:p>
            <w:pPr>
              <w:keepNext w:val="0"/>
              <w:keepLines w:val="0"/>
              <w:widowControl/>
              <w:numPr>
                <w:ilvl w:val="0"/>
                <w:numId w:val="0"/>
              </w:numPr>
              <w:suppressLineNumbers w:val="0"/>
              <w:ind w:leftChars="0"/>
              <w:jc w:val="both"/>
              <w:textAlignment w:val="center"/>
              <w:rPr>
                <w:rFonts w:hint="default"/>
                <w:highlight w:val="none"/>
                <w:lang w:val="en-US"/>
              </w:rPr>
            </w:pPr>
            <w:r>
              <w:rPr>
                <w:rFonts w:hint="eastAsia" w:ascii="仿宋" w:hAnsi="仿宋" w:eastAsia="仿宋" w:cs="仿宋"/>
                <w:b/>
                <w:bCs/>
                <w:i w:val="0"/>
                <w:iCs w:val="0"/>
                <w:color w:val="000000"/>
                <w:kern w:val="0"/>
                <w:sz w:val="24"/>
                <w:szCs w:val="24"/>
                <w:highlight w:val="none"/>
                <w:u w:val="none"/>
                <w:lang w:val="en-US" w:eastAsia="zh-CN" w:bidi="ar"/>
              </w:rPr>
              <w:t>4.本项目2个包别，单独评审中标，参与投标供应商可对2个包别或其中一个包别进行报价。</w:t>
            </w:r>
          </w:p>
        </w:tc>
      </w:tr>
    </w:tbl>
    <w:p>
      <w:pPr>
        <w:numPr>
          <w:ilvl w:val="0"/>
          <w:numId w:val="0"/>
        </w:numPr>
        <w:rPr>
          <w:rFonts w:hint="eastAsia"/>
          <w:sz w:val="24"/>
          <w:szCs w:val="24"/>
          <w:highlight w:val="none"/>
          <w:lang w:val="zh-CN"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highlight w:val="none"/>
          <w:lang w:val="en-US" w:eastAsia="zh-CN"/>
        </w:rPr>
      </w:pPr>
      <w:r>
        <w:rPr>
          <w:rFonts w:hint="eastAsia" w:ascii="黑体" w:hAnsi="黑体" w:eastAsia="黑体" w:cs="黑体"/>
          <w:color w:val="000000"/>
          <w:kern w:val="0"/>
          <w:sz w:val="30"/>
          <w:szCs w:val="30"/>
          <w:highlight w:val="none"/>
          <w:lang w:val="zh-CN" w:eastAsia="zh-CN" w:bidi="ar"/>
        </w:rPr>
        <w:t>二、采购商务要求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kern w:val="2"/>
          <w:sz w:val="28"/>
          <w:szCs w:val="28"/>
          <w:highlight w:val="none"/>
          <w:lang w:val="en-US" w:eastAsia="zh-CN" w:bidi="ar-SA"/>
        </w:rPr>
      </w:pPr>
      <w:bookmarkStart w:id="0" w:name="_Toc24273"/>
      <w:r>
        <w:rPr>
          <w:rFonts w:hint="eastAsia" w:ascii="仿宋" w:hAnsi="仿宋" w:eastAsia="仿宋" w:cs="仿宋"/>
          <w:b w:val="0"/>
          <w:bCs w:val="0"/>
          <w:sz w:val="28"/>
          <w:szCs w:val="28"/>
          <w:highlight w:val="none"/>
          <w:lang w:eastAsia="zh-CN"/>
        </w:rPr>
        <w:t>（一）</w:t>
      </w:r>
      <w:r>
        <w:rPr>
          <w:rFonts w:hint="eastAsia" w:ascii="仿宋" w:hAnsi="仿宋" w:eastAsia="仿宋" w:cs="仿宋"/>
          <w:b w:val="0"/>
          <w:bCs w:val="0"/>
          <w:sz w:val="28"/>
          <w:szCs w:val="28"/>
          <w:highlight w:val="none"/>
        </w:rPr>
        <w:t>报价要求：</w:t>
      </w:r>
      <w:r>
        <w:rPr>
          <w:rFonts w:hint="eastAsia" w:ascii="仿宋" w:hAnsi="仿宋" w:eastAsia="仿宋" w:cs="仿宋"/>
          <w:snapToGrid w:val="0"/>
          <w:kern w:val="2"/>
          <w:sz w:val="28"/>
          <w:szCs w:val="28"/>
          <w:highlight w:val="none"/>
          <w:lang w:val="en-US" w:eastAsia="zh-CN" w:bidi="ar-SA"/>
        </w:rPr>
        <w:t>供应商的报价应包括：人员费用、运输费用、设备费、管理费及税金等为完成竞价文件规定全部内容所需的一切应有费用。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highlight w:val="none"/>
          <w:lang w:val="zh-CN" w:eastAsia="zh-CN"/>
        </w:rPr>
      </w:pPr>
      <w:r>
        <w:rPr>
          <w:rFonts w:hint="eastAsia" w:ascii="仿宋" w:hAnsi="仿宋" w:eastAsia="仿宋" w:cs="仿宋"/>
          <w:b w:val="0"/>
          <w:bCs w:val="0"/>
          <w:snapToGrid w:val="0"/>
          <w:sz w:val="28"/>
          <w:szCs w:val="28"/>
          <w:highlight w:val="none"/>
          <w:lang w:eastAsia="zh-CN"/>
        </w:rPr>
        <w:t>（二）交货地点</w:t>
      </w:r>
      <w:r>
        <w:rPr>
          <w:rFonts w:hint="eastAsia" w:ascii="仿宋" w:hAnsi="仿宋" w:eastAsia="仿宋" w:cs="仿宋"/>
          <w:b/>
          <w:bCs/>
          <w:snapToGrid w:val="0"/>
          <w:sz w:val="28"/>
          <w:szCs w:val="28"/>
          <w:highlight w:val="none"/>
          <w:lang w:eastAsia="zh-CN"/>
        </w:rPr>
        <w:t>：</w:t>
      </w:r>
      <w:r>
        <w:rPr>
          <w:rFonts w:hint="eastAsia" w:ascii="仿宋" w:hAnsi="仿宋" w:eastAsia="仿宋" w:cs="仿宋"/>
          <w:b w:val="0"/>
          <w:bCs w:val="0"/>
          <w:snapToGrid w:val="0"/>
          <w:sz w:val="28"/>
          <w:szCs w:val="28"/>
          <w:highlight w:val="none"/>
          <w:lang w:eastAsia="zh-CN"/>
        </w:rPr>
        <w:t>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highlight w:val="none"/>
          <w:lang w:eastAsia="zh-CN"/>
        </w:rPr>
      </w:pPr>
      <w:r>
        <w:rPr>
          <w:rFonts w:hint="eastAsia" w:ascii="仿宋" w:hAnsi="仿宋" w:eastAsia="仿宋" w:cs="仿宋"/>
          <w:b w:val="0"/>
          <w:bCs w:val="0"/>
          <w:snapToGrid w:val="0"/>
          <w:sz w:val="28"/>
          <w:szCs w:val="28"/>
          <w:highlight w:val="none"/>
          <w:lang w:eastAsia="zh-CN"/>
        </w:rPr>
        <w:t>（三）售后服务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1.售后服务：依据商品的保修条款及售后服务条款，提供原厂质保，质保期按照国家规定，且不低于所供品牌向用户承诺的质保期限。</w:t>
      </w:r>
      <w:r>
        <w:rPr>
          <w:rFonts w:hint="eastAsia" w:ascii="仿宋" w:hAnsi="仿宋" w:eastAsia="仿宋" w:cs="仿宋"/>
          <w:b w:val="0"/>
          <w:bCs w:val="0"/>
          <w:sz w:val="28"/>
          <w:szCs w:val="28"/>
          <w:highlight w:val="none"/>
          <w:lang w:eastAsia="zh-CN"/>
        </w:rPr>
        <w:t>竞价</w:t>
      </w:r>
      <w:r>
        <w:rPr>
          <w:rFonts w:hint="eastAsia" w:ascii="仿宋" w:hAnsi="仿宋" w:eastAsia="仿宋" w:cs="仿宋"/>
          <w:b w:val="0"/>
          <w:bCs w:val="0"/>
          <w:sz w:val="28"/>
          <w:szCs w:val="28"/>
          <w:highlight w:val="none"/>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color w:val="FF0000"/>
          <w:sz w:val="28"/>
          <w:szCs w:val="28"/>
          <w:highlight w:val="none"/>
        </w:rPr>
      </w:pPr>
      <w:r>
        <w:rPr>
          <w:rFonts w:hint="eastAsia" w:ascii="仿宋" w:hAnsi="仿宋" w:eastAsia="仿宋" w:cs="仿宋"/>
          <w:b w:val="0"/>
          <w:bCs w:val="0"/>
          <w:sz w:val="28"/>
          <w:szCs w:val="28"/>
          <w:highlight w:val="none"/>
        </w:rPr>
        <w:t>2.供货要求：</w:t>
      </w:r>
      <w:r>
        <w:rPr>
          <w:rFonts w:hint="eastAsia" w:ascii="仿宋" w:hAnsi="仿宋" w:eastAsia="仿宋" w:cs="仿宋"/>
          <w:sz w:val="28"/>
          <w:szCs w:val="28"/>
          <w:highlight w:val="none"/>
        </w:rPr>
        <w:t>供应商成交以后，</w:t>
      </w:r>
      <w:r>
        <w:rPr>
          <w:rFonts w:hint="eastAsia" w:ascii="仿宋" w:hAnsi="仿宋" w:eastAsia="仿宋" w:cs="仿宋"/>
          <w:sz w:val="28"/>
          <w:szCs w:val="28"/>
          <w:highlight w:val="none"/>
          <w:lang w:eastAsia="zh-CN"/>
        </w:rPr>
        <w:t>按相关要求、期限及业主要求供货</w:t>
      </w:r>
      <w:r>
        <w:rPr>
          <w:rFonts w:hint="eastAsia" w:ascii="仿宋" w:hAnsi="仿宋" w:eastAsia="仿宋" w:cs="仿宋"/>
          <w:sz w:val="28"/>
          <w:szCs w:val="28"/>
          <w:highlight w:val="none"/>
        </w:rPr>
        <w:t>，否则，采购人有权解除合同，由此造成的全部损失，由成交供应商全部承担。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sz w:val="28"/>
          <w:szCs w:val="28"/>
          <w:highlight w:val="none"/>
          <w:lang w:val="zh-CN"/>
        </w:rPr>
      </w:pPr>
      <w:r>
        <w:rPr>
          <w:rFonts w:hint="eastAsia" w:ascii="仿宋" w:hAnsi="仿宋" w:eastAsia="仿宋" w:cs="仿宋"/>
          <w:snapToGrid w:val="0"/>
          <w:sz w:val="28"/>
          <w:szCs w:val="28"/>
          <w:highlight w:val="none"/>
        </w:rPr>
        <w:t>3.</w:t>
      </w:r>
      <w:r>
        <w:rPr>
          <w:rFonts w:hint="eastAsia" w:ascii="仿宋" w:hAnsi="仿宋" w:eastAsia="仿宋" w:cs="仿宋"/>
          <w:snapToGrid w:val="0"/>
          <w:sz w:val="28"/>
          <w:szCs w:val="28"/>
          <w:highlight w:val="none"/>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napToGrid w:val="0"/>
          <w:sz w:val="28"/>
          <w:szCs w:val="28"/>
          <w:highlight w:val="none"/>
          <w:lang w:val="en-US" w:eastAsia="zh-CN"/>
        </w:rPr>
        <w:t>（四）付款及结算方式：</w:t>
      </w:r>
      <w:r>
        <w:rPr>
          <w:rFonts w:hint="eastAsia" w:ascii="仿宋" w:hAnsi="仿宋" w:eastAsia="仿宋" w:cs="仿宋"/>
          <w:b w:val="0"/>
          <w:bCs w:val="0"/>
          <w:sz w:val="28"/>
          <w:szCs w:val="28"/>
          <w:highlight w:val="none"/>
        </w:rPr>
        <w:t>验收合格</w:t>
      </w:r>
      <w:r>
        <w:rPr>
          <w:rFonts w:hint="eastAsia" w:ascii="仿宋" w:hAnsi="仿宋" w:eastAsia="仿宋" w:cs="仿宋"/>
          <w:b w:val="0"/>
          <w:bCs w:val="0"/>
          <w:snapToGrid w:val="0"/>
          <w:sz w:val="28"/>
          <w:szCs w:val="28"/>
          <w:highlight w:val="none"/>
          <w:lang w:val="zh-CN"/>
        </w:rPr>
        <w:t>后，成交供应商按采购人要求凭国家正式发票及相关证明文件向采购人申请付款，采购人收到申请后在</w:t>
      </w:r>
      <w:r>
        <w:rPr>
          <w:rFonts w:hint="eastAsia" w:ascii="仿宋" w:hAnsi="仿宋" w:eastAsia="仿宋" w:cs="仿宋"/>
          <w:b w:val="0"/>
          <w:bCs w:val="0"/>
          <w:snapToGrid w:val="0"/>
          <w:sz w:val="28"/>
          <w:szCs w:val="28"/>
          <w:highlight w:val="none"/>
          <w:lang w:val="en-US" w:eastAsia="zh-CN"/>
        </w:rPr>
        <w:t>15</w:t>
      </w:r>
      <w:r>
        <w:rPr>
          <w:rFonts w:hint="eastAsia" w:ascii="仿宋" w:hAnsi="仿宋" w:eastAsia="仿宋" w:cs="仿宋"/>
          <w:b w:val="0"/>
          <w:bCs w:val="0"/>
          <w:snapToGrid w:val="0"/>
          <w:sz w:val="28"/>
          <w:szCs w:val="28"/>
          <w:highlight w:val="none"/>
          <w:lang w:val="zh-CN"/>
        </w:rPr>
        <w:t>个工作日内结清</w:t>
      </w:r>
      <w:r>
        <w:rPr>
          <w:rFonts w:hint="eastAsia" w:ascii="仿宋" w:hAnsi="仿宋" w:eastAsia="仿宋" w:cs="仿宋"/>
          <w:b w:val="0"/>
          <w:bCs w:val="0"/>
          <w:snapToGrid w:val="0"/>
          <w:sz w:val="28"/>
          <w:szCs w:val="28"/>
          <w:highlight w:val="none"/>
          <w:lang w:val="zh-CN" w:eastAsia="zh-CN"/>
        </w:rPr>
        <w:t>全部</w:t>
      </w:r>
      <w:r>
        <w:rPr>
          <w:rFonts w:hint="eastAsia" w:ascii="仿宋" w:hAnsi="仿宋" w:eastAsia="仿宋" w:cs="仿宋"/>
          <w:b w:val="0"/>
          <w:bCs w:val="0"/>
          <w:snapToGrid w:val="0"/>
          <w:sz w:val="28"/>
          <w:szCs w:val="28"/>
          <w:highlight w:val="none"/>
          <w:lang w:val="zh-CN"/>
        </w:rPr>
        <w:t>货款。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（五）</w:t>
      </w:r>
      <w:r>
        <w:rPr>
          <w:rFonts w:hint="eastAsia" w:ascii="仿宋" w:hAnsi="仿宋" w:eastAsia="仿宋" w:cs="仿宋"/>
          <w:b w:val="0"/>
          <w:bCs w:val="0"/>
          <w:snapToGrid w:val="0"/>
          <w:sz w:val="28"/>
          <w:szCs w:val="28"/>
          <w:highlight w:val="none"/>
          <w:lang w:val="en-US" w:eastAsia="zh-CN"/>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w:t>
      </w:r>
      <w:r>
        <w:rPr>
          <w:rFonts w:hint="eastAsia" w:ascii="仿宋" w:hAnsi="仿宋" w:eastAsia="仿宋" w:cs="仿宋"/>
          <w:b w:val="0"/>
          <w:bCs w:val="0"/>
          <w:sz w:val="28"/>
          <w:szCs w:val="28"/>
          <w:highlight w:val="none"/>
          <w:lang w:eastAsia="zh-CN"/>
        </w:rPr>
        <w:t>六</w:t>
      </w:r>
      <w:r>
        <w:rPr>
          <w:rFonts w:hint="eastAsia" w:ascii="仿宋" w:hAnsi="仿宋" w:eastAsia="仿宋" w:cs="仿宋"/>
          <w:b w:val="0"/>
          <w:bCs w:val="0"/>
          <w:sz w:val="28"/>
          <w:szCs w:val="28"/>
          <w:highlight w:val="none"/>
        </w:rPr>
        <w:t>）验收方法及标准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按照签订的采购合同</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rPr>
        <w:t>技术要求及标准对每一环节履约情况进行验收</w:t>
      </w:r>
      <w:r>
        <w:rPr>
          <w:rFonts w:hint="eastAsia" w:ascii="仿宋" w:hAnsi="仿宋" w:eastAsia="仿宋" w:cs="仿宋"/>
          <w:b w:val="0"/>
          <w:bCs w:val="0"/>
          <w:sz w:val="28"/>
          <w:szCs w:val="28"/>
          <w:highlight w:val="none"/>
          <w:lang w:eastAsia="zh-CN"/>
        </w:rPr>
        <w:t>，并严格比对留存样品</w:t>
      </w:r>
      <w:r>
        <w:rPr>
          <w:rFonts w:hint="eastAsia" w:ascii="仿宋" w:hAnsi="仿宋" w:eastAsia="仿宋" w:cs="仿宋"/>
          <w:b w:val="0"/>
          <w:bCs w:val="0"/>
          <w:sz w:val="28"/>
          <w:szCs w:val="28"/>
          <w:highlight w:val="none"/>
        </w:rPr>
        <w:t>。验收</w:t>
      </w:r>
      <w:r>
        <w:rPr>
          <w:rFonts w:hint="eastAsia" w:ascii="仿宋" w:hAnsi="仿宋" w:eastAsia="仿宋" w:cs="仿宋"/>
          <w:b w:val="0"/>
          <w:bCs w:val="0"/>
          <w:sz w:val="28"/>
          <w:szCs w:val="28"/>
          <w:highlight w:val="none"/>
          <w:lang w:eastAsia="zh-CN"/>
        </w:rPr>
        <w:t>合格</w:t>
      </w:r>
      <w:r>
        <w:rPr>
          <w:rFonts w:hint="eastAsia" w:ascii="仿宋" w:hAnsi="仿宋" w:eastAsia="仿宋" w:cs="仿宋"/>
          <w:b w:val="0"/>
          <w:bCs w:val="0"/>
          <w:sz w:val="28"/>
          <w:szCs w:val="28"/>
          <w:highlight w:val="none"/>
        </w:rPr>
        <w:t>后，应当出具验收书，由双方共同签署。</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其它说明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1、保质期：从采购人接收货物之日起，保质期不得少于12个月。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2、香型：成交时根据采购需求进行采购。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3、参数证明文件包括但不限于第三方质量检测报告、产品使用说明书、产品彩页。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4、为鼓励不同品牌的充分竞争，如某设备的某技术参数或要求属于个别品牌专有，则该技术参数及要求不具</w:t>
      </w:r>
      <w:r>
        <w:rPr>
          <w:rFonts w:hint="eastAsia" w:ascii="仿宋" w:hAnsi="仿宋" w:eastAsia="仿宋" w:cs="仿宋"/>
          <w:sz w:val="28"/>
          <w:szCs w:val="28"/>
          <w:lang w:val="en-US" w:eastAsia="zh-CN"/>
        </w:rPr>
        <w:t>有限制性，供应商可对该参数或要求进行适当调整，但这种调整整体上要优于或相当于竞价文件的相关要求，并说明调整理由，且该调整须经竞价小组审核认可。成交人提供的货物为进口产品的，供货时须向采购人提供所投进口产品的海关报关单等证明材料。原装进口的产品，如国内产品满足需求也可参与采购竞争。上述采购内容中部分参数注明了参考品牌，非特定该品牌，仅供供应商参考，供应商可对该参数或要求进行适当调整，但这种调整整体上要优于或相当于竞价文件的相关要求。</w:t>
      </w:r>
      <w:bookmarkEnd w:id="0"/>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3E460F1-E47F-4503-9BA1-48F13306F0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B744CDE-C003-426A-8C06-230EF5D8E9FB}"/>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AC195B0B-A80B-4AAF-BB4B-ECBD1CF0B11D}"/>
  </w:font>
  <w:font w:name="仿宋">
    <w:panose1 w:val="02010609060101010101"/>
    <w:charset w:val="86"/>
    <w:family w:val="auto"/>
    <w:pitch w:val="default"/>
    <w:sig w:usb0="800002BF" w:usb1="38CF7CFA" w:usb2="00000016" w:usb3="00000000" w:csb0="00040001" w:csb1="00000000"/>
    <w:embedRegular r:id="rId4" w:fontKey="{02C98151-5CE2-4C42-A50A-84271B6463A0}"/>
  </w:font>
  <w:font w:name="楷体">
    <w:panose1 w:val="02010609060101010101"/>
    <w:charset w:val="86"/>
    <w:family w:val="auto"/>
    <w:pitch w:val="default"/>
    <w:sig w:usb0="800002BF" w:usb1="38CF7CFA" w:usb2="00000016" w:usb3="00000000" w:csb0="00040001" w:csb1="00000000"/>
    <w:embedRegular r:id="rId5" w:fontKey="{A3E265D1-7577-457B-A399-4B78F305E15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1E973"/>
    <w:multiLevelType w:val="singleLevel"/>
    <w:tmpl w:val="C061E973"/>
    <w:lvl w:ilvl="0" w:tentative="0">
      <w:start w:val="7"/>
      <w:numFmt w:val="chineseCounting"/>
      <w:suff w:val="nothing"/>
      <w:lvlText w:val="（%1）"/>
      <w:lvlJc w:val="left"/>
      <w:rPr>
        <w:rFonts w:hint="eastAsia"/>
      </w:rPr>
    </w:lvl>
  </w:abstractNum>
  <w:abstractNum w:abstractNumId="1">
    <w:nsid w:val="EE00B98D"/>
    <w:multiLevelType w:val="singleLevel"/>
    <w:tmpl w:val="EE00B98D"/>
    <w:lvl w:ilvl="0" w:tentative="0">
      <w:start w:val="4"/>
      <w:numFmt w:val="decimal"/>
      <w:lvlText w:val="%1."/>
      <w:lvlJc w:val="left"/>
      <w:pPr>
        <w:tabs>
          <w:tab w:val="left" w:pos="312"/>
        </w:tabs>
      </w:pPr>
    </w:lvl>
  </w:abstractNum>
  <w:abstractNum w:abstractNumId="2">
    <w:nsid w:val="776DD23B"/>
    <w:multiLevelType w:val="singleLevel"/>
    <w:tmpl w:val="776DD23B"/>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jBjMDRkMTI4NDg4ZjUxMDc3ODI1NmIwYjQyNjgifQ=="/>
  </w:docVars>
  <w:rsids>
    <w:rsidRoot w:val="00000000"/>
    <w:rsid w:val="046B7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uiPriority w:val="0"/>
    <w:pPr>
      <w:ind w:firstLine="630"/>
    </w:pPr>
    <w:rPr>
      <w:rFonts w:eastAsia="仿宋_GB2312"/>
      <w:sz w:val="28"/>
      <w:szCs w:val="20"/>
    </w:rPr>
  </w:style>
  <w:style w:type="paragraph" w:styleId="4">
    <w:name w:val="Plain Text"/>
    <w:basedOn w:val="1"/>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2024-04-15T02:54:54Z</dcterms:created>
  <dc:creator>Administrator</dc:creator>
  <cp:lastModifiedBy>赤湖</cp:lastModifiedBy>
  <dcterms:modified xsi:type="dcterms:W3CDTF">2024-04-15T02:55:02Z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92FE44FFFED248398D9C1E5068204D3E_12</vt:lpwstr>
  </property>
</Properties>
</file>