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0" w:name="_Toc26798"/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附件：</w:t>
      </w:r>
      <w:bookmarkEnd w:id="0"/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宋体" w:hAnsi="宋体" w:cs="宋体"/>
          <w:b/>
          <w:color w:val="000000"/>
          <w:sz w:val="32"/>
          <w:szCs w:val="32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项目需求及技术要求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前注：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本说明中提出的技术方案仅为参考，如无明确限制，供应商可以进行优化，提供满足用户实际需要的更优（或者性能实质上不低于的）技术方案或者设备配置，且此方案或配置须经磋商小组评审认可；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cr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鼓励不同品牌的充分竞争，如某设备的某技术参数或要求属于个别品牌专有，则该技术参数及要求不具有限制性，供应商可对该参数或要求进行适当调整，并应当说明调整的理由，且此调整须经磋商小组评审认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有助于供应商选择磋商产品，项目说明中可能提供了推荐品牌（或型号）、参考品牌（或型号）等，这些品牌（或型号）仅供参考，并无限制性。供应商可以选择性能不低于推荐（或参考）的品牌（或型号）的其他品牌产品，但磋商时应当提有关技术证明资料，未提供的可能导致磋商无效；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采购需求一览表</w:t>
      </w:r>
    </w:p>
    <w:tbl>
      <w:tblPr>
        <w:tblStyle w:val="6"/>
        <w:tblW w:w="9307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59"/>
        <w:gridCol w:w="1691"/>
        <w:gridCol w:w="764"/>
        <w:gridCol w:w="1268"/>
        <w:gridCol w:w="140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采购数量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最高限价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单件产品最高限价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安庆市疾病预防控制中心艾防科宣传品采购项目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保温饭盒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具体采购数量=项目预算价/单个产品成交价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36000元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90元/个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供应商所报价格不能超过对应最高限价。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毛巾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14000元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14元/条</w:t>
            </w:r>
          </w:p>
        </w:tc>
        <w:tc>
          <w:tcPr>
            <w:tcW w:w="1324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（一）报价要求：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供应商的报价应包括：人员费用、运输费用、管理费及税金等为完成文件规定全部内容所需的一切应有费用。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样品要求：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各潜在供应商，请严格按照技术要求及标准提供样品各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1份（多提供按无效标处理）。磋商时对各供应商提供的样品进行评定。（样品所产生的所有费用，各供应商自行承担。）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（三）时间及地点要求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（1）时间要求：签订合同后10个日历天完成供货及配送工作。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（2）交货地点：送至安庆市疾病预防控制中心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（四）付款方式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全部物品到货验收合格后7个工作日内完成支付。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（五）投标保证金及履约保证金：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（六）验收方法及标准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按照成交人的样品和签订的采购合同和技术要求及标准对每一环节、标准的履约情况进行验收。验收结束后，应当出具验收书，由双方共同签署。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三、技术要求及标准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（一）保温饭盒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1.保温饭盒材质（食品接触用）：食品级不锈钢材料，安全无异味；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2.采用三层分装设计，独立密封；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3.容量≥2000ml；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4.重量（净重）≥1000g；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5.保温效能：常温下≥5小时，温度≥50℃；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6.密封圈：硅橡胶（食品接触用）。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7.参数证明文件包括但不限于第三方质量检测报告（依据GB/T29606-2013检测标准）、产品使用说明书、产品彩页。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（二）毛巾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1.尺寸:72*34cm（允许误差±1cm）；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2.面料：100%纯棉；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3.超强吸水，不脱毛，不掉色；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4.颜色：可提供三种以上颜色选择；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5.重量（净重）≥100g；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四、特别说明：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1.成交后，采购人在不改变其材质、不增加其成本等情况下，可以更改采购物品的颜色等内容。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2.成交单位的样品现场留存；未成交单位的样品，待评标结束后退回。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A07B2"/>
    <w:multiLevelType w:val="singleLevel"/>
    <w:tmpl w:val="28DA0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614C"/>
    <w:rsid w:val="083A6832"/>
    <w:rsid w:val="0DBB1347"/>
    <w:rsid w:val="211E614C"/>
    <w:rsid w:val="5E3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2021-12-08T07:02:00Z</dcterms:created>
  <dc:creator>花开无叶，叶生无花</dc:creator>
  <cp:lastModifiedBy>花开无叶，叶生无花</cp:lastModifiedBy>
  <dcterms:modified xsi:type="dcterms:W3CDTF">2021-12-09T06:11:01Z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BE3FD04C24B6452E83C291B06C16697A</vt:lpwstr>
  </property>
</Properties>
</file>