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240" w:beforeLines="100"/>
        <w:jc w:val="center"/>
        <w:outlineLvl w:val="0"/>
        <w:rPr>
          <w:rFonts w:hint="eastAsia" w:ascii="方正小标宋_GBK" w:hAnsi="方正小标宋_GBK" w:eastAsia="方正小标宋_GBK" w:cs="方正小标宋_GBK"/>
          <w:sz w:val="32"/>
          <w:szCs w:val="32"/>
          <w:lang w:val="zh-CN"/>
        </w:rPr>
      </w:pPr>
      <w:bookmarkStart w:id="0" w:name="_Toc27097"/>
      <w:r>
        <w:rPr>
          <w:rFonts w:hint="eastAsia" w:ascii="方正小标宋_GBK" w:hAnsi="方正小标宋_GBK" w:eastAsia="方正小标宋_GBK" w:cs="方正小标宋_GBK"/>
          <w:sz w:val="32"/>
          <w:szCs w:val="32"/>
          <w:lang w:val="zh-CN"/>
        </w:rPr>
        <w:t>采购项目技术和商务要求</w:t>
      </w:r>
      <w:bookmarkEnd w:id="0"/>
    </w:p>
    <w:p>
      <w:pPr>
        <w:pStyle w:val="6"/>
        <w:rPr>
          <w:rFonts w:hint="eastAsia"/>
          <w:lang w:val="zh-CN"/>
        </w:rPr>
      </w:pPr>
    </w:p>
    <w:p>
      <w:pPr>
        <w:pStyle w:val="10"/>
        <w:widowControl w:val="0"/>
        <w:numPr>
          <w:ilvl w:val="0"/>
          <w:numId w:val="1"/>
        </w:numPr>
        <w:autoSpaceDE w:val="0"/>
        <w:autoSpaceDN w:val="0"/>
        <w:adjustRightInd w:val="0"/>
        <w:spacing w:line="500" w:lineRule="exact"/>
        <w:jc w:val="both"/>
        <w:rPr>
          <w:rFonts w:hint="eastAsia" w:ascii="Times New Roman" w:hAnsi="Times New Roman" w:eastAsia="黑体"/>
          <w:sz w:val="28"/>
          <w:szCs w:val="28"/>
          <w:lang w:eastAsia="zh-CN"/>
        </w:rPr>
      </w:pPr>
      <w:bookmarkStart w:id="1" w:name="_Toc285612596"/>
      <w:r>
        <w:rPr>
          <w:rFonts w:ascii="Times New Roman" w:hAnsi="Times New Roman" w:eastAsia="黑体"/>
          <w:sz w:val="28"/>
          <w:szCs w:val="28"/>
          <w:lang w:eastAsia="zh-CN"/>
        </w:rPr>
        <w:t>技术</w:t>
      </w:r>
      <w:r>
        <w:rPr>
          <w:rFonts w:hint="eastAsia" w:ascii="Times New Roman" w:hAnsi="Times New Roman" w:eastAsia="黑体"/>
          <w:sz w:val="28"/>
          <w:szCs w:val="28"/>
          <w:lang w:eastAsia="zh-CN"/>
        </w:rPr>
        <w:t>要求</w:t>
      </w:r>
    </w:p>
    <w:tbl>
      <w:tblPr>
        <w:tblStyle w:val="7"/>
        <w:tblpPr w:leftFromText="180" w:rightFromText="180" w:vertAnchor="text" w:horzAnchor="page" w:tblpX="1424" w:tblpY="260"/>
        <w:tblOverlap w:val="never"/>
        <w:tblW w:w="9540" w:type="dxa"/>
        <w:tblInd w:w="0" w:type="dxa"/>
        <w:tblLayout w:type="autofit"/>
        <w:tblCellMar>
          <w:top w:w="0" w:type="dxa"/>
          <w:left w:w="0" w:type="dxa"/>
          <w:bottom w:w="0" w:type="dxa"/>
          <w:right w:w="0" w:type="dxa"/>
        </w:tblCellMar>
      </w:tblPr>
      <w:tblGrid>
        <w:gridCol w:w="940"/>
        <w:gridCol w:w="1827"/>
        <w:gridCol w:w="553"/>
        <w:gridCol w:w="538"/>
        <w:gridCol w:w="5682"/>
      </w:tblGrid>
      <w:tr>
        <w:tblPrEx>
          <w:tblCellMar>
            <w:top w:w="0" w:type="dxa"/>
            <w:left w:w="0" w:type="dxa"/>
            <w:bottom w:w="0" w:type="dxa"/>
            <w:right w:w="0" w:type="dxa"/>
          </w:tblCellMar>
        </w:tblPrEx>
        <w:trPr>
          <w:trHeight w:val="115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等线" w:hAnsi="等线" w:eastAsia="等线" w:cs="等线"/>
                <w:i w:val="0"/>
                <w:color w:val="000000"/>
                <w:sz w:val="32"/>
                <w:szCs w:val="32"/>
                <w:u w:val="none"/>
              </w:rPr>
            </w:pPr>
          </w:p>
        </w:tc>
        <w:tc>
          <w:tcPr>
            <w:tcW w:w="18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设备名称</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监测设备数量</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监测指标数</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监测指标</w:t>
            </w:r>
          </w:p>
        </w:tc>
      </w:tr>
      <w:tr>
        <w:tblPrEx>
          <w:tblCellMar>
            <w:top w:w="0" w:type="dxa"/>
            <w:left w:w="0" w:type="dxa"/>
            <w:bottom w:w="0" w:type="dxa"/>
            <w:right w:w="0" w:type="dxa"/>
          </w:tblCellMar>
        </w:tblPrEx>
        <w:trPr>
          <w:trHeight w:val="786" w:hRule="atLeast"/>
        </w:trPr>
        <w:tc>
          <w:tcPr>
            <w:tcW w:w="94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放射治疗设备部分</w:t>
            </w:r>
          </w:p>
        </w:tc>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医用电子加速器</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FF0000"/>
                <w:sz w:val="20"/>
                <w:szCs w:val="20"/>
                <w:u w:val="none"/>
              </w:rPr>
            </w:pPr>
            <w:r>
              <w:rPr>
                <w:rFonts w:hint="eastAsia" w:ascii="Times New Roman" w:hAnsi="Times New Roman" w:eastAsia="等线" w:cs="Times New Roman"/>
                <w:i w:val="0"/>
                <w:color w:val="FF0000"/>
                <w:kern w:val="0"/>
                <w:sz w:val="20"/>
                <w:szCs w:val="20"/>
                <w:u w:val="none"/>
                <w:lang w:val="en-US" w:eastAsia="zh-CN" w:bidi="ar"/>
              </w:rPr>
              <w:t>4</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6</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 xml:space="preserve">X 射线 </w:t>
            </w:r>
            <w:r>
              <w:rPr>
                <w:rStyle w:val="11"/>
                <w:rFonts w:hint="eastAsia"/>
                <w:i w:val="0"/>
                <w:color w:val="000000"/>
                <w:lang w:val="en-US" w:eastAsia="zh-CN" w:bidi="ar"/>
              </w:rPr>
              <w:t>6</w:t>
            </w:r>
            <w:r>
              <w:rPr>
                <w:rStyle w:val="11"/>
                <w:rFonts w:hint="default"/>
                <w:i w:val="0"/>
                <w:color w:val="000000"/>
                <w:lang w:val="en-US" w:eastAsia="zh-CN" w:bidi="ar"/>
              </w:rPr>
              <w:t xml:space="preserve"> 项指标</w:t>
            </w:r>
            <w:r>
              <w:rPr>
                <w:rStyle w:val="11"/>
                <w:rFonts w:hint="eastAsia"/>
                <w:i w:val="0"/>
                <w:color w:val="000000"/>
                <w:lang w:val="en-US" w:eastAsia="zh-CN" w:bidi="ar"/>
              </w:rPr>
              <w:t>：</w:t>
            </w:r>
            <w:r>
              <w:rPr>
                <w:rStyle w:val="11"/>
                <w:rFonts w:hint="default"/>
                <w:i w:val="0"/>
                <w:color w:val="000000"/>
                <w:lang w:val="en-US" w:eastAsia="zh-CN" w:bidi="ar"/>
              </w:rPr>
              <w:t>方形 X 辐射野的均整度</w:t>
            </w:r>
            <w:r>
              <w:rPr>
                <w:rStyle w:val="11"/>
                <w:rFonts w:hint="eastAsia"/>
                <w:i w:val="0"/>
                <w:color w:val="000000"/>
                <w:lang w:val="en-US" w:eastAsia="zh-CN" w:bidi="ar"/>
              </w:rPr>
              <w:t>、</w:t>
            </w:r>
            <w:r>
              <w:rPr>
                <w:rStyle w:val="11"/>
                <w:rFonts w:hint="default"/>
                <w:i w:val="0"/>
                <w:color w:val="000000"/>
                <w:lang w:val="en-US" w:eastAsia="zh-CN" w:bidi="ar"/>
              </w:rPr>
              <w:t>方形 X 辐射野的对称性</w:t>
            </w:r>
            <w:r>
              <w:rPr>
                <w:rStyle w:val="11"/>
                <w:rFonts w:hint="eastAsia"/>
                <w:i w:val="0"/>
                <w:color w:val="000000"/>
                <w:lang w:val="en-US" w:eastAsia="zh-CN" w:bidi="ar"/>
              </w:rPr>
              <w:t>、</w:t>
            </w:r>
            <w:r>
              <w:rPr>
                <w:rStyle w:val="11"/>
                <w:rFonts w:hint="default"/>
                <w:i w:val="0"/>
                <w:color w:val="000000"/>
                <w:lang w:val="en-US" w:eastAsia="zh-CN" w:bidi="ar"/>
              </w:rPr>
              <w:t>辐射</w:t>
            </w:r>
            <w:r>
              <w:rPr>
                <w:rStyle w:val="11"/>
                <w:rFonts w:hint="eastAsia"/>
                <w:i w:val="0"/>
                <w:color w:val="000000"/>
                <w:lang w:val="en-US" w:eastAsia="zh-CN" w:bidi="ar"/>
              </w:rPr>
              <w:t>辐射束轴相对等中心的偏移、重复性、线性、剂量偏差</w:t>
            </w:r>
            <w:r>
              <w:rPr>
                <w:rStyle w:val="11"/>
                <w:rFonts w:hint="default"/>
                <w:i w:val="0"/>
                <w:color w:val="000000"/>
                <w:lang w:val="en-US" w:eastAsia="zh-CN" w:bidi="ar"/>
              </w:rPr>
              <w:t>。</w:t>
            </w:r>
          </w:p>
        </w:tc>
      </w:tr>
      <w:tr>
        <w:tblPrEx>
          <w:tblCellMar>
            <w:top w:w="0" w:type="dxa"/>
            <w:left w:w="0" w:type="dxa"/>
            <w:bottom w:w="0" w:type="dxa"/>
            <w:right w:w="0" w:type="dxa"/>
          </w:tblCellMar>
        </w:tblPrEx>
        <w:trPr>
          <w:trHeight w:val="90" w:hRule="atLeast"/>
        </w:trPr>
        <w:tc>
          <w:tcPr>
            <w:tcW w:w="9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放射诊断设备部分</w:t>
            </w:r>
          </w:p>
        </w:tc>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屏片X射线摄影机</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FF0000"/>
                <w:sz w:val="20"/>
                <w:szCs w:val="20"/>
                <w:u w:val="none"/>
              </w:rPr>
            </w:pPr>
            <w:r>
              <w:rPr>
                <w:rFonts w:hint="eastAsia" w:ascii="Times New Roman" w:hAnsi="Times New Roman" w:eastAsia="等线" w:cs="Times New Roman"/>
                <w:i w:val="0"/>
                <w:color w:val="FF0000"/>
                <w:kern w:val="0"/>
                <w:sz w:val="20"/>
                <w:szCs w:val="20"/>
                <w:u w:val="none"/>
                <w:lang w:val="en-US" w:eastAsia="zh-CN" w:bidi="ar"/>
              </w:rPr>
              <w:t>0</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8</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管电压指示的偏离、辐射输出量重复性、有用线束半值层、AEC重复性、AEC响应、AEC电离室之间一致性、有用线束垂直度偏离、光野与照射野四边的偏离。</w:t>
            </w:r>
          </w:p>
        </w:tc>
      </w:tr>
      <w:tr>
        <w:tblPrEx>
          <w:tblCellMar>
            <w:top w:w="0" w:type="dxa"/>
            <w:left w:w="0" w:type="dxa"/>
            <w:bottom w:w="0" w:type="dxa"/>
            <w:right w:w="0" w:type="dxa"/>
          </w:tblCellMar>
        </w:tblPrEx>
        <w:trPr>
          <w:trHeight w:val="670"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等线" w:hAnsi="等线" w:eastAsia="等线" w:cs="等线"/>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Ｘ射线透视机</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FF0000"/>
                <w:sz w:val="20"/>
                <w:szCs w:val="20"/>
                <w:u w:val="none"/>
              </w:rPr>
            </w:pPr>
            <w:r>
              <w:rPr>
                <w:rFonts w:hint="default" w:ascii="Times New Roman" w:hAnsi="Times New Roman" w:eastAsia="等线" w:cs="Times New Roman"/>
                <w:i w:val="0"/>
                <w:color w:val="FF0000"/>
                <w:kern w:val="0"/>
                <w:sz w:val="20"/>
                <w:szCs w:val="20"/>
                <w:u w:val="none"/>
                <w:lang w:val="en-US" w:eastAsia="zh-CN" w:bidi="ar"/>
              </w:rPr>
              <w:t>3</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6</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透视受检者入射体表空气比释动能率典型值</w:t>
            </w:r>
            <w:r>
              <w:rPr>
                <w:rStyle w:val="11"/>
                <w:rFonts w:hint="eastAsia"/>
                <w:i w:val="0"/>
                <w:color w:val="000000"/>
                <w:lang w:val="en-US" w:eastAsia="zh-CN" w:bidi="ar"/>
              </w:rPr>
              <w:t>、高对比度</w:t>
            </w:r>
            <w:r>
              <w:rPr>
                <w:rStyle w:val="11"/>
                <w:rFonts w:hint="default"/>
                <w:i w:val="0"/>
                <w:color w:val="000000"/>
                <w:lang w:val="en-US" w:eastAsia="zh-CN" w:bidi="ar"/>
              </w:rPr>
              <w:t>分辨力</w:t>
            </w:r>
            <w:r>
              <w:rPr>
                <w:rStyle w:val="11"/>
                <w:rFonts w:hint="eastAsia"/>
                <w:i w:val="0"/>
                <w:color w:val="000000"/>
                <w:lang w:val="en-US" w:eastAsia="zh-CN" w:bidi="ar"/>
              </w:rPr>
              <w:t>、</w:t>
            </w:r>
            <w:r>
              <w:rPr>
                <w:rStyle w:val="11"/>
                <w:rFonts w:hint="default"/>
                <w:i w:val="0"/>
                <w:color w:val="000000"/>
                <w:lang w:val="en-US" w:eastAsia="zh-CN" w:bidi="ar"/>
              </w:rPr>
              <w:t>低对比分辨力</w:t>
            </w:r>
            <w:r>
              <w:rPr>
                <w:rStyle w:val="11"/>
                <w:rFonts w:hint="eastAsia"/>
                <w:i w:val="0"/>
                <w:color w:val="000000"/>
                <w:lang w:val="en-US" w:eastAsia="zh-CN" w:bidi="ar"/>
              </w:rPr>
              <w:t>、</w:t>
            </w:r>
            <w:r>
              <w:rPr>
                <w:rStyle w:val="11"/>
                <w:rFonts w:hint="default"/>
                <w:i w:val="0"/>
                <w:color w:val="000000"/>
                <w:lang w:val="en-US" w:eastAsia="zh-CN" w:bidi="ar"/>
              </w:rPr>
              <w:t>入射屏前空气比释动能</w:t>
            </w:r>
            <w:r>
              <w:rPr>
                <w:rStyle w:val="11"/>
                <w:rFonts w:hint="eastAsia"/>
                <w:i w:val="0"/>
                <w:color w:val="000000"/>
                <w:lang w:val="en-US" w:eastAsia="zh-CN" w:bidi="ar"/>
              </w:rPr>
              <w:t>、</w:t>
            </w:r>
            <w:r>
              <w:rPr>
                <w:rStyle w:val="11"/>
                <w:rFonts w:hint="default"/>
                <w:i w:val="0"/>
                <w:color w:val="000000"/>
                <w:lang w:val="en-US" w:eastAsia="zh-CN" w:bidi="ar"/>
              </w:rPr>
              <w:t>自动亮度控制</w:t>
            </w:r>
            <w:r>
              <w:rPr>
                <w:rStyle w:val="11"/>
                <w:rFonts w:hint="eastAsia"/>
                <w:i w:val="0"/>
                <w:color w:val="000000"/>
                <w:lang w:val="en-US" w:eastAsia="zh-CN" w:bidi="ar"/>
              </w:rPr>
              <w:t>、透视防护区检测平面上周围剂量当量率（近台同室操作的X射线设备）。</w:t>
            </w:r>
          </w:p>
        </w:tc>
      </w:tr>
      <w:tr>
        <w:tblPrEx>
          <w:tblCellMar>
            <w:top w:w="0" w:type="dxa"/>
            <w:left w:w="0" w:type="dxa"/>
            <w:bottom w:w="0" w:type="dxa"/>
            <w:right w:w="0" w:type="dxa"/>
          </w:tblCellMar>
        </w:tblPrEx>
        <w:trPr>
          <w:trHeight w:val="1994"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等线" w:hAnsi="等线" w:eastAsia="等线" w:cs="等线"/>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DR设备</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FF0000"/>
                <w:sz w:val="20"/>
                <w:szCs w:val="20"/>
                <w:u w:val="none"/>
              </w:rPr>
            </w:pPr>
            <w:r>
              <w:rPr>
                <w:rFonts w:hint="default" w:ascii="Times New Roman" w:hAnsi="Times New Roman" w:eastAsia="等线" w:cs="Times New Roman"/>
                <w:i w:val="0"/>
                <w:color w:val="FF0000"/>
                <w:kern w:val="0"/>
                <w:sz w:val="20"/>
                <w:szCs w:val="20"/>
                <w:u w:val="none"/>
                <w:lang w:val="en-US" w:eastAsia="zh-CN" w:bidi="ar"/>
              </w:rPr>
              <w:t>4</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1</w:t>
            </w:r>
            <w:r>
              <w:rPr>
                <w:rFonts w:hint="eastAsia" w:ascii="等线" w:hAnsi="等线" w:eastAsia="等线" w:cs="等线"/>
                <w:i w:val="0"/>
                <w:color w:val="000000"/>
                <w:kern w:val="0"/>
                <w:sz w:val="20"/>
                <w:szCs w:val="20"/>
                <w:u w:val="none"/>
                <w:lang w:val="en-US" w:eastAsia="zh-CN" w:bidi="ar"/>
              </w:rPr>
              <w:t>5</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通用指标</w:t>
            </w:r>
            <w:r>
              <w:rPr>
                <w:rStyle w:val="11"/>
                <w:rFonts w:hint="eastAsia"/>
                <w:i w:val="0"/>
                <w:color w:val="000000"/>
                <w:lang w:val="en-US" w:eastAsia="zh-CN" w:bidi="ar"/>
              </w:rPr>
              <w:t>8项</w:t>
            </w:r>
            <w:r>
              <w:rPr>
                <w:rStyle w:val="11"/>
                <w:rFonts w:hint="default"/>
                <w:i w:val="0"/>
                <w:color w:val="000000"/>
                <w:lang w:val="en-US" w:eastAsia="zh-CN" w:bidi="ar"/>
              </w:rPr>
              <w:t>：管电压指示的偏离、辐射输出量重复性、有用线束半值层、AEC重复性、AEC响应、AEC电离室之间一致性、有用线束垂直度偏离、光野与照射野四边的偏离。</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专用指标</w:t>
            </w:r>
            <w:r>
              <w:rPr>
                <w:rStyle w:val="11"/>
                <w:rFonts w:hint="eastAsia"/>
                <w:i w:val="0"/>
                <w:color w:val="000000"/>
                <w:lang w:val="en-US" w:eastAsia="zh-CN" w:bidi="ar"/>
              </w:rPr>
              <w:t>7项</w:t>
            </w:r>
            <w:r>
              <w:rPr>
                <w:rStyle w:val="11"/>
                <w:rFonts w:hint="default"/>
                <w:i w:val="0"/>
                <w:color w:val="000000"/>
                <w:lang w:val="en-US" w:eastAsia="zh-CN" w:bidi="ar"/>
              </w:rPr>
              <w:t xml:space="preserve">：探测器剂量指示（DDI）、信号传递特性（STP）、响应均匀性、测距误差、伪影、高对比度分辨力、低对比度分辨力。 </w:t>
            </w:r>
            <w:r>
              <w:rPr>
                <w:rStyle w:val="11"/>
                <w:rFonts w:hint="eastAsia"/>
                <w:b/>
                <w:bCs/>
                <w:i w:val="0"/>
                <w:color w:val="000000"/>
                <w:sz w:val="18"/>
                <w:szCs w:val="18"/>
                <w:lang w:val="en-US" w:eastAsia="zh-CN" w:bidi="ar"/>
              </w:rPr>
              <w:t>*双板DR要检测双板，检测时检测条件要在原始记录中详细记录。</w:t>
            </w:r>
          </w:p>
        </w:tc>
      </w:tr>
      <w:tr>
        <w:tblPrEx>
          <w:tblCellMar>
            <w:top w:w="0" w:type="dxa"/>
            <w:left w:w="0" w:type="dxa"/>
            <w:bottom w:w="0" w:type="dxa"/>
            <w:right w:w="0" w:type="dxa"/>
          </w:tblCellMar>
        </w:tblPrEx>
        <w:trPr>
          <w:trHeight w:val="1625"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等线" w:hAnsi="等线" w:eastAsia="等线" w:cs="等线"/>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CR设备</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FF0000"/>
                <w:sz w:val="20"/>
                <w:szCs w:val="20"/>
                <w:u w:val="none"/>
              </w:rPr>
            </w:pPr>
            <w:r>
              <w:rPr>
                <w:rFonts w:hint="eastAsia" w:ascii="Times New Roman" w:hAnsi="Times New Roman" w:eastAsia="等线" w:cs="Times New Roman"/>
                <w:i w:val="0"/>
                <w:color w:val="FF0000"/>
                <w:kern w:val="0"/>
                <w:sz w:val="20"/>
                <w:szCs w:val="20"/>
                <w:u w:val="none"/>
                <w:lang w:val="en-US" w:eastAsia="zh-CN" w:bidi="ar"/>
              </w:rPr>
              <w:t>0</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15</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通用指标 8 项：管电压指示的偏离、辐射输出量重复性、有用线束半值层、AEC重复性、AEC响应、AEC电离室之间一致性、有用线束垂直度偏离、光野与照射野四边的偏离。</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专用指标 7 项：IP暗噪声、探测器剂量指示（DDI）、IP响应均匀性、IP响应一致性、测距误差、高对比度分辨力、低对比度分辨力。</w:t>
            </w:r>
          </w:p>
        </w:tc>
      </w:tr>
      <w:tr>
        <w:tblPrEx>
          <w:tblCellMar>
            <w:top w:w="0" w:type="dxa"/>
            <w:left w:w="0" w:type="dxa"/>
            <w:bottom w:w="0" w:type="dxa"/>
            <w:right w:w="0" w:type="dxa"/>
          </w:tblCellMar>
        </w:tblPrEx>
        <w:trPr>
          <w:trHeight w:val="670"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等线" w:hAnsi="等线" w:eastAsia="等线" w:cs="等线"/>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CT机</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FF0000"/>
                <w:sz w:val="20"/>
                <w:szCs w:val="20"/>
                <w:u w:val="none"/>
              </w:rPr>
            </w:pPr>
            <w:r>
              <w:rPr>
                <w:rFonts w:hint="default" w:ascii="Times New Roman" w:hAnsi="Times New Roman" w:eastAsia="等线" w:cs="Times New Roman"/>
                <w:i w:val="0"/>
                <w:color w:val="FF0000"/>
                <w:kern w:val="0"/>
                <w:sz w:val="20"/>
                <w:szCs w:val="20"/>
                <w:u w:val="none"/>
                <w:lang w:val="en-US" w:eastAsia="zh-CN" w:bidi="ar"/>
              </w:rPr>
              <w:t>3</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9</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诊断床定位精度、定位光精度、重建层厚偏差、CTDIW、CT 值（水）、均匀性、噪声、高对比分辨力、低对比可探测能力。</w:t>
            </w:r>
          </w:p>
        </w:tc>
      </w:tr>
      <w:tr>
        <w:tblPrEx>
          <w:tblCellMar>
            <w:top w:w="0" w:type="dxa"/>
            <w:left w:w="0" w:type="dxa"/>
            <w:bottom w:w="0" w:type="dxa"/>
            <w:right w:w="0" w:type="dxa"/>
          </w:tblCellMar>
        </w:tblPrEx>
        <w:trPr>
          <w:trHeight w:val="1340"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等线" w:hAnsi="等线" w:eastAsia="等线" w:cs="等线"/>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乳腺DR</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FF0000"/>
                <w:sz w:val="20"/>
                <w:szCs w:val="20"/>
                <w:u w:val="none"/>
              </w:rPr>
            </w:pPr>
            <w:r>
              <w:rPr>
                <w:rFonts w:hint="eastAsia" w:ascii="Times New Roman" w:hAnsi="Times New Roman" w:eastAsia="等线" w:cs="Times New Roman"/>
                <w:i w:val="0"/>
                <w:color w:val="FF0000"/>
                <w:kern w:val="0"/>
                <w:sz w:val="20"/>
                <w:szCs w:val="20"/>
                <w:u w:val="none"/>
                <w:lang w:val="en-US" w:eastAsia="zh-CN" w:bidi="ar"/>
              </w:rPr>
              <w:t>1</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1</w:t>
            </w:r>
            <w:r>
              <w:rPr>
                <w:rFonts w:hint="eastAsia" w:ascii="等线" w:hAnsi="等线" w:eastAsia="等线" w:cs="等线"/>
                <w:i w:val="0"/>
                <w:color w:val="000000"/>
                <w:kern w:val="0"/>
                <w:sz w:val="20"/>
                <w:szCs w:val="20"/>
                <w:u w:val="none"/>
                <w:lang w:val="en-US" w:eastAsia="zh-CN" w:bidi="ar"/>
              </w:rPr>
              <w:t>1</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 xml:space="preserve">通用指标 </w:t>
            </w:r>
            <w:r>
              <w:rPr>
                <w:rStyle w:val="11"/>
                <w:rFonts w:hint="eastAsia"/>
                <w:i w:val="0"/>
                <w:color w:val="000000"/>
                <w:lang w:val="en-US" w:eastAsia="zh-CN" w:bidi="ar"/>
              </w:rPr>
              <w:t>6</w:t>
            </w:r>
            <w:r>
              <w:rPr>
                <w:rStyle w:val="11"/>
                <w:rFonts w:hint="default"/>
                <w:i w:val="0"/>
                <w:color w:val="000000"/>
                <w:lang w:val="en-US" w:eastAsia="zh-CN" w:bidi="ar"/>
              </w:rPr>
              <w:t>项：胸壁侧射野与影像接收器一致性、管电压指示的偏离、输出量重复性、特定辐射输出量、自动曝光控制重复性、乳腺平均剂量。</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专用指标 5 项：影像接收器响应、影像接收器均匀性、伪影、高对比分辨力、</w:t>
            </w:r>
            <w:r>
              <w:rPr>
                <w:rStyle w:val="11"/>
                <w:rFonts w:hint="eastAsia"/>
                <w:i w:val="0"/>
                <w:color w:val="000000"/>
                <w:lang w:val="en-US" w:eastAsia="zh-CN" w:bidi="ar"/>
              </w:rPr>
              <w:t>低</w:t>
            </w:r>
            <w:r>
              <w:rPr>
                <w:rStyle w:val="11"/>
                <w:rFonts w:hint="default"/>
                <w:i w:val="0"/>
                <w:color w:val="000000"/>
                <w:lang w:val="en-US" w:eastAsia="zh-CN" w:bidi="ar"/>
              </w:rPr>
              <w:t>对比度细节。</w:t>
            </w:r>
          </w:p>
        </w:tc>
      </w:tr>
      <w:tr>
        <w:tblPrEx>
          <w:tblCellMar>
            <w:top w:w="0" w:type="dxa"/>
            <w:left w:w="0" w:type="dxa"/>
            <w:bottom w:w="0" w:type="dxa"/>
            <w:right w:w="0" w:type="dxa"/>
          </w:tblCellMar>
        </w:tblPrEx>
        <w:trPr>
          <w:trHeight w:val="1151"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等线" w:hAnsi="等线" w:eastAsia="等线" w:cs="等线"/>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DSA设备</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FF0000"/>
                <w:sz w:val="20"/>
                <w:szCs w:val="20"/>
                <w:u w:val="none"/>
              </w:rPr>
            </w:pPr>
            <w:r>
              <w:rPr>
                <w:rFonts w:hint="default" w:ascii="Times New Roman" w:hAnsi="Times New Roman" w:eastAsia="等线" w:cs="Times New Roman"/>
                <w:i w:val="0"/>
                <w:color w:val="FF0000"/>
                <w:kern w:val="0"/>
                <w:sz w:val="20"/>
                <w:szCs w:val="20"/>
                <w:u w:val="none"/>
                <w:lang w:val="en-US" w:eastAsia="zh-CN" w:bidi="ar"/>
              </w:rPr>
              <w:t>3</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rPr>
                <w:rStyle w:val="11"/>
                <w:rFonts w:hint="default"/>
                <w:i w:val="0"/>
                <w:color w:val="000000"/>
                <w:lang w:val="en-US" w:eastAsia="zh-CN" w:bidi="ar"/>
              </w:rPr>
            </w:pPr>
            <w:r>
              <w:rPr>
                <w:rStyle w:val="11"/>
                <w:rFonts w:hint="default"/>
                <w:i w:val="0"/>
                <w:color w:val="000000"/>
                <w:lang w:val="en-US" w:eastAsia="zh-CN" w:bidi="ar"/>
              </w:rPr>
              <w:t xml:space="preserve">通用指标 </w:t>
            </w:r>
            <w:r>
              <w:rPr>
                <w:rStyle w:val="11"/>
                <w:rFonts w:hint="eastAsia"/>
                <w:i w:val="0"/>
                <w:color w:val="000000"/>
                <w:lang w:val="en-US" w:eastAsia="zh-CN" w:bidi="ar"/>
              </w:rPr>
              <w:t>6</w:t>
            </w:r>
            <w:r>
              <w:rPr>
                <w:rStyle w:val="11"/>
                <w:rFonts w:hint="default"/>
                <w:i w:val="0"/>
                <w:color w:val="000000"/>
                <w:lang w:val="en-US" w:eastAsia="zh-CN" w:bidi="ar"/>
              </w:rPr>
              <w:t xml:space="preserve"> 项：透视受检者入射体表空气比释动能率典型值、</w:t>
            </w:r>
            <w:r>
              <w:rPr>
                <w:rStyle w:val="11"/>
                <w:rFonts w:hint="eastAsia"/>
                <w:i w:val="0"/>
                <w:color w:val="000000"/>
                <w:lang w:val="en-US" w:eastAsia="zh-CN" w:bidi="ar"/>
              </w:rPr>
              <w:t>高对比度</w:t>
            </w:r>
            <w:r>
              <w:rPr>
                <w:rStyle w:val="11"/>
                <w:rFonts w:hint="default"/>
                <w:i w:val="0"/>
                <w:color w:val="000000"/>
                <w:lang w:val="en-US" w:eastAsia="zh-CN" w:bidi="ar"/>
              </w:rPr>
              <w:t>分辨力、低对比分辨力、入射屏前空气比释动能、自动亮度控制</w:t>
            </w:r>
            <w:r>
              <w:rPr>
                <w:rStyle w:val="11"/>
                <w:rFonts w:hint="eastAsia"/>
                <w:i w:val="0"/>
                <w:color w:val="000000"/>
                <w:lang w:val="en-US" w:eastAsia="zh-CN" w:bidi="ar"/>
              </w:rPr>
              <w:t>、</w:t>
            </w:r>
            <w:r>
              <w:rPr>
                <w:rStyle w:val="11"/>
                <w:rFonts w:hint="default"/>
                <w:i w:val="0"/>
                <w:color w:val="000000"/>
                <w:lang w:val="en-US" w:eastAsia="zh-CN" w:bidi="ar"/>
              </w:rPr>
              <w:t xml:space="preserve">透视防护区检测平面上周围剂量当量率（近台同室操作的X射线设备）。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rPr>
                <w:rStyle w:val="11"/>
                <w:rFonts w:hint="default"/>
                <w:i w:val="0"/>
                <w:color w:val="000000"/>
                <w:lang w:val="en-US" w:eastAsia="zh-CN" w:bidi="ar"/>
              </w:rPr>
            </w:pPr>
            <w:r>
              <w:rPr>
                <w:rStyle w:val="11"/>
                <w:rFonts w:hint="default"/>
                <w:i w:val="0"/>
                <w:color w:val="000000"/>
                <w:lang w:val="en-US" w:eastAsia="zh-CN" w:bidi="ar"/>
              </w:rPr>
              <w:t>专用指标 3 项：DSA 动态范围、DSA 对比灵敏度、伪影。</w:t>
            </w:r>
          </w:p>
        </w:tc>
      </w:tr>
      <w:tr>
        <w:tblPrEx>
          <w:tblCellMar>
            <w:top w:w="0" w:type="dxa"/>
            <w:left w:w="0" w:type="dxa"/>
            <w:bottom w:w="0" w:type="dxa"/>
            <w:right w:w="0" w:type="dxa"/>
          </w:tblCellMar>
        </w:tblPrEx>
        <w:trPr>
          <w:trHeight w:val="90"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等线" w:hAnsi="等线" w:eastAsia="等线" w:cs="等线"/>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口内牙科机</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等线" w:cs="Times New Roman"/>
                <w:i w:val="0"/>
                <w:color w:val="FF0000"/>
                <w:sz w:val="20"/>
                <w:szCs w:val="20"/>
                <w:u w:val="none"/>
                <w:lang w:val="en-US" w:eastAsia="zh-CN"/>
              </w:rPr>
            </w:pPr>
            <w:r>
              <w:rPr>
                <w:rFonts w:hint="eastAsia" w:ascii="Times New Roman" w:hAnsi="Times New Roman" w:eastAsia="等线" w:cs="Times New Roman"/>
                <w:i w:val="0"/>
                <w:color w:val="FF0000"/>
                <w:sz w:val="20"/>
                <w:szCs w:val="20"/>
                <w:u w:val="none"/>
                <w:lang w:val="en-US" w:eastAsia="zh-CN"/>
              </w:rPr>
              <w:t>0</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6</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6 项：管电压指示的偏离、输出量重复性、</w:t>
            </w:r>
            <w:r>
              <w:rPr>
                <w:rStyle w:val="11"/>
                <w:rFonts w:hint="eastAsia"/>
                <w:i w:val="0"/>
                <w:color w:val="000000"/>
                <w:lang w:val="en-US" w:eastAsia="zh-CN" w:bidi="ar"/>
              </w:rPr>
              <w:t>曝光时间指示的</w:t>
            </w:r>
            <w:r>
              <w:rPr>
                <w:rStyle w:val="11"/>
                <w:rFonts w:hint="default"/>
                <w:i w:val="0"/>
                <w:color w:val="000000"/>
                <w:lang w:val="en-US" w:eastAsia="zh-CN" w:bidi="ar"/>
              </w:rPr>
              <w:t xml:space="preserve">偏离、有用线束半值层、高对比分辨力和低对比分辨力。 </w:t>
            </w:r>
          </w:p>
        </w:tc>
      </w:tr>
      <w:tr>
        <w:tblPrEx>
          <w:tblCellMar>
            <w:top w:w="0" w:type="dxa"/>
            <w:left w:w="0" w:type="dxa"/>
            <w:bottom w:w="0" w:type="dxa"/>
            <w:right w:w="0" w:type="dxa"/>
          </w:tblCellMar>
        </w:tblPrEx>
        <w:trPr>
          <w:trHeight w:val="615"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全景牙科机</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FF0000"/>
                <w:sz w:val="20"/>
                <w:szCs w:val="20"/>
                <w:u w:val="none"/>
              </w:rPr>
            </w:pPr>
            <w:r>
              <w:rPr>
                <w:rFonts w:hint="default" w:ascii="Times New Roman" w:hAnsi="Times New Roman" w:eastAsia="等线" w:cs="Times New Roman"/>
                <w:i w:val="0"/>
                <w:color w:val="FF0000"/>
                <w:kern w:val="0"/>
                <w:sz w:val="20"/>
                <w:szCs w:val="20"/>
                <w:u w:val="none"/>
                <w:lang w:val="en-US" w:eastAsia="zh-CN" w:bidi="ar"/>
              </w:rPr>
              <w:t>2</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5</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1"/>
                <w:rFonts w:hint="default"/>
                <w:i w:val="0"/>
                <w:color w:val="000000"/>
                <w:lang w:val="en-US" w:eastAsia="zh-CN" w:bidi="ar"/>
              </w:rPr>
            </w:pPr>
            <w:r>
              <w:rPr>
                <w:rStyle w:val="11"/>
                <w:rFonts w:hint="default"/>
                <w:i w:val="0"/>
                <w:color w:val="000000"/>
                <w:lang w:val="en-US" w:eastAsia="zh-CN" w:bidi="ar"/>
              </w:rPr>
              <w:t>5 项：管电压指示的偏离、</w:t>
            </w:r>
            <w:r>
              <w:rPr>
                <w:rStyle w:val="11"/>
                <w:rFonts w:hint="eastAsia"/>
                <w:i w:val="0"/>
                <w:color w:val="000000"/>
                <w:lang w:val="en-US" w:eastAsia="zh-CN" w:bidi="ar"/>
              </w:rPr>
              <w:t>曝光时间指示的</w:t>
            </w:r>
            <w:r>
              <w:rPr>
                <w:rStyle w:val="11"/>
                <w:rFonts w:hint="default"/>
                <w:i w:val="0"/>
                <w:color w:val="000000"/>
                <w:lang w:val="en-US" w:eastAsia="zh-CN" w:bidi="ar"/>
              </w:rPr>
              <w:t xml:space="preserve">偏离、有用线束半值层、高对比分辨力和低对比分辨力。 </w:t>
            </w:r>
          </w:p>
        </w:tc>
      </w:tr>
    </w:tbl>
    <w:p>
      <w:pPr>
        <w:pStyle w:val="12"/>
        <w:rPr>
          <w:rFonts w:hint="eastAsia"/>
          <w:lang w:val="en-US" w:eastAsia="zh-CN"/>
        </w:rPr>
      </w:pPr>
    </w:p>
    <w:p>
      <w:pPr>
        <w:pStyle w:val="12"/>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right="6"/>
        <w:jc w:val="center"/>
        <w:textAlignment w:val="auto"/>
        <w:rPr>
          <w:rFonts w:hint="eastAsia" w:ascii="Times New Roman" w:hAnsi="Times New Roman" w:eastAsia="宋体" w:cs="Times New Roman"/>
          <w:b/>
          <w:bCs/>
          <w:kern w:val="2"/>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360" w:lineRule="auto"/>
        <w:ind w:right="6"/>
        <w:jc w:val="center"/>
        <w:textAlignment w:val="auto"/>
        <w:rPr>
          <w:rFonts w:hint="eastAsia" w:ascii="Times New Roman" w:hAnsi="Times New Roman" w:eastAsia="宋体" w:cs="Times New Roman"/>
          <w:b/>
          <w:bCs/>
          <w:kern w:val="2"/>
          <w:sz w:val="32"/>
          <w:szCs w:val="32"/>
          <w:lang w:val="en-US" w:eastAsia="zh-CN" w:bidi="ar-SA"/>
        </w:rPr>
      </w:pPr>
      <w:r>
        <w:rPr>
          <w:rFonts w:hint="eastAsia" w:ascii="Times New Roman" w:hAnsi="Times New Roman" w:eastAsia="宋体" w:cs="Times New Roman"/>
          <w:b/>
          <w:bCs/>
          <w:kern w:val="2"/>
          <w:sz w:val="32"/>
          <w:szCs w:val="32"/>
          <w:lang w:val="en-US" w:eastAsia="zh-CN" w:bidi="ar-SA"/>
        </w:rPr>
        <w:t>放射诊疗设备质量防护检测检测依据</w:t>
      </w:r>
    </w:p>
    <w:tbl>
      <w:tblPr>
        <w:tblStyle w:val="8"/>
        <w:tblW w:w="10035" w:type="dxa"/>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145"/>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15" w:type="dxa"/>
            <w:noWrap w:val="0"/>
            <w:vAlign w:val="center"/>
          </w:tcPr>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序号</w:t>
            </w:r>
          </w:p>
        </w:tc>
        <w:tc>
          <w:tcPr>
            <w:tcW w:w="2145" w:type="dxa"/>
            <w:noWrap w:val="0"/>
            <w:vAlign w:val="center"/>
          </w:tcPr>
          <w:p>
            <w:pPr>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放射诊疗</w:t>
            </w:r>
          </w:p>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设备名称</w:t>
            </w:r>
          </w:p>
        </w:tc>
        <w:tc>
          <w:tcPr>
            <w:tcW w:w="6975" w:type="dxa"/>
            <w:noWrap w:val="0"/>
            <w:vAlign w:val="center"/>
          </w:tcPr>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035" w:type="dxa"/>
            <w:gridSpan w:val="3"/>
            <w:noWrap w:val="0"/>
            <w:vAlign w:val="top"/>
          </w:tcPr>
          <w:p>
            <w:pPr>
              <w:rPr>
                <w:rFonts w:hint="eastAsia" w:ascii="Times New Roman" w:hAnsi="Times New Roman" w:cs="Times New Roman"/>
                <w:sz w:val="28"/>
                <w:szCs w:val="36"/>
                <w:vertAlign w:val="baseline"/>
                <w:lang w:val="en-US" w:eastAsia="zh-CN"/>
              </w:rPr>
            </w:pPr>
            <w:r>
              <w:rPr>
                <w:rFonts w:hint="eastAsia" w:ascii="Times New Roman" w:hAnsi="Times New Roman" w:cs="Times New Roman"/>
                <w:sz w:val="28"/>
                <w:szCs w:val="36"/>
                <w:vertAlign w:val="baseline"/>
                <w:lang w:val="en-US" w:eastAsia="zh-CN"/>
              </w:rPr>
              <w:t>一、放射治疗设备部分：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915" w:type="dxa"/>
            <w:noWrap w:val="0"/>
            <w:vAlign w:val="center"/>
          </w:tcPr>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w:t>
            </w:r>
          </w:p>
        </w:tc>
        <w:tc>
          <w:tcPr>
            <w:tcW w:w="2145" w:type="dxa"/>
            <w:noWrap w:val="0"/>
            <w:vAlign w:val="center"/>
          </w:tcPr>
          <w:p>
            <w:pPr>
              <w:jc w:val="center"/>
              <w:rPr>
                <w:rFonts w:hint="default" w:ascii="Times New Roman" w:hAnsi="Times New Roman" w:eastAsia="仿宋" w:cs="Times New Roman"/>
                <w:sz w:val="24"/>
                <w:szCs w:val="24"/>
                <w:lang w:val="en-US" w:eastAsia="zh-CN"/>
              </w:rPr>
            </w:pPr>
            <w:r>
              <w:rPr>
                <w:rFonts w:ascii="Times New Roman" w:hAnsi="Times New Roman" w:eastAsia="仿宋" w:cs="Times New Roman"/>
                <w:sz w:val="24"/>
                <w:szCs w:val="24"/>
                <w:lang w:eastAsia="zh-CN"/>
              </w:rPr>
              <w:t>医用电子加速器</w:t>
            </w:r>
          </w:p>
        </w:tc>
        <w:tc>
          <w:tcPr>
            <w:tcW w:w="6975" w:type="dxa"/>
            <w:noWrap w:val="0"/>
            <w:vAlign w:val="center"/>
          </w:tcPr>
          <w:p>
            <w:pPr>
              <w:jc w:val="both"/>
              <w:rPr>
                <w:rFonts w:hint="default" w:ascii="Times New Roman" w:hAnsi="Times New Roman" w:eastAsia="仿宋" w:cs="Times New Roman"/>
                <w:sz w:val="24"/>
                <w:szCs w:val="24"/>
                <w:lang w:val="en-US" w:eastAsia="zh-CN"/>
              </w:rPr>
            </w:pPr>
            <w:r>
              <w:rPr>
                <w:rFonts w:ascii="Times New Roman" w:hAnsi="Times New Roman" w:eastAsia="仿宋" w:cs="Times New Roman"/>
                <w:sz w:val="24"/>
                <w:szCs w:val="24"/>
                <w:lang w:val="en-US" w:eastAsia="zh-CN"/>
              </w:rPr>
              <w:t>《医用</w:t>
            </w:r>
            <w:r>
              <w:rPr>
                <w:rFonts w:hint="default" w:ascii="Times New Roman" w:hAnsi="Times New Roman" w:eastAsia="仿宋" w:cs="Times New Roman"/>
                <w:sz w:val="24"/>
                <w:szCs w:val="24"/>
                <w:lang w:val="en-US" w:eastAsia="zh-CN"/>
              </w:rPr>
              <w:t>电子加速器性能和试验方法》（GB 15213-2016）</w:t>
            </w:r>
            <w:r>
              <w:rPr>
                <w:rFonts w:hint="eastAsia" w:ascii="Times New Roman" w:hAnsi="Times New Roman" w:eastAsia="仿宋" w:cs="Times New Roman"/>
                <w:sz w:val="24"/>
                <w:szCs w:val="24"/>
                <w:lang w:val="en-US" w:eastAsia="zh-CN"/>
              </w:rPr>
              <w:t>或</w:t>
            </w:r>
          </w:p>
          <w:p>
            <w:pPr>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《医用电子直线加速器质量控制检测规范》（WS 674-2020）。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035" w:type="dxa"/>
            <w:gridSpan w:val="3"/>
            <w:noWrap w:val="0"/>
            <w:vAlign w:val="top"/>
          </w:tcPr>
          <w:p>
            <w:pPr>
              <w:rPr>
                <w:rFonts w:hint="eastAsia" w:ascii="Times New Roman" w:hAnsi="Times New Roman" w:cs="Times New Roman"/>
                <w:sz w:val="32"/>
                <w:szCs w:val="40"/>
                <w:vertAlign w:val="baseline"/>
                <w:lang w:val="en-US" w:eastAsia="zh-CN"/>
              </w:rPr>
            </w:pPr>
            <w:r>
              <w:rPr>
                <w:rFonts w:hint="eastAsia" w:ascii="Times New Roman" w:hAnsi="Times New Roman" w:cs="Times New Roman"/>
                <w:sz w:val="32"/>
                <w:szCs w:val="40"/>
                <w:vertAlign w:val="baseline"/>
                <w:lang w:val="en-US" w:eastAsia="zh-CN"/>
              </w:rPr>
              <w:t>二、放射诊断设备部分：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15" w:type="dxa"/>
            <w:noWrap w:val="0"/>
            <w:vAlign w:val="center"/>
          </w:tcPr>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w:t>
            </w:r>
          </w:p>
        </w:tc>
        <w:tc>
          <w:tcPr>
            <w:tcW w:w="2145" w:type="dxa"/>
            <w:noWrap w:val="0"/>
            <w:vAlign w:val="center"/>
          </w:tcPr>
          <w:p>
            <w:pPr>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屏片X射线摄影机</w:t>
            </w:r>
          </w:p>
        </w:tc>
        <w:tc>
          <w:tcPr>
            <w:tcW w:w="6975" w:type="dxa"/>
            <w:noWrap w:val="0"/>
            <w:vAlign w:val="center"/>
          </w:tcPr>
          <w:p>
            <w:pPr>
              <w:numPr>
                <w:ilvl w:val="0"/>
                <w:numId w:val="0"/>
              </w:numPr>
              <w:jc w:val="both"/>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《医用X射线设备质量控制检测规范》（WS 76-2020）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15" w:type="dxa"/>
            <w:noWrap w:val="0"/>
            <w:vAlign w:val="center"/>
          </w:tcPr>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w:t>
            </w:r>
          </w:p>
        </w:tc>
        <w:tc>
          <w:tcPr>
            <w:tcW w:w="2145" w:type="dxa"/>
            <w:noWrap w:val="0"/>
            <w:vAlign w:val="center"/>
          </w:tcPr>
          <w:p>
            <w:pPr>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Ｘ射线透视机</w:t>
            </w:r>
          </w:p>
        </w:tc>
        <w:tc>
          <w:tcPr>
            <w:tcW w:w="6975" w:type="dxa"/>
            <w:noWrap w:val="0"/>
            <w:vAlign w:val="center"/>
          </w:tcPr>
          <w:p>
            <w:pPr>
              <w:numPr>
                <w:ilvl w:val="0"/>
                <w:numId w:val="0"/>
              </w:numPr>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《医用X射线设备质量控制检测规范》（WS 76-2020）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15" w:type="dxa"/>
            <w:noWrap w:val="0"/>
            <w:vAlign w:val="center"/>
          </w:tcPr>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3</w:t>
            </w:r>
          </w:p>
        </w:tc>
        <w:tc>
          <w:tcPr>
            <w:tcW w:w="2145" w:type="dxa"/>
            <w:noWrap w:val="0"/>
            <w:vAlign w:val="center"/>
          </w:tcPr>
          <w:p>
            <w:pPr>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DR设备监测</w:t>
            </w:r>
          </w:p>
        </w:tc>
        <w:tc>
          <w:tcPr>
            <w:tcW w:w="6975" w:type="dxa"/>
            <w:noWrap w:val="0"/>
            <w:vAlign w:val="center"/>
          </w:tcPr>
          <w:p>
            <w:pPr>
              <w:numPr>
                <w:ilvl w:val="0"/>
                <w:numId w:val="0"/>
              </w:numPr>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《医用X射线设备质量控制检测规范》（WS 76-2020）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15" w:type="dxa"/>
            <w:noWrap w:val="0"/>
            <w:vAlign w:val="center"/>
          </w:tcPr>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4</w:t>
            </w:r>
          </w:p>
        </w:tc>
        <w:tc>
          <w:tcPr>
            <w:tcW w:w="2145" w:type="dxa"/>
            <w:noWrap w:val="0"/>
            <w:vAlign w:val="center"/>
          </w:tcPr>
          <w:p>
            <w:pPr>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CR设备</w:t>
            </w:r>
          </w:p>
        </w:tc>
        <w:tc>
          <w:tcPr>
            <w:tcW w:w="6975" w:type="dxa"/>
            <w:noWrap w:val="0"/>
            <w:vAlign w:val="center"/>
          </w:tcPr>
          <w:p>
            <w:pPr>
              <w:numPr>
                <w:ilvl w:val="0"/>
                <w:numId w:val="0"/>
              </w:numPr>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《医用X射线设备质量控制检测规范》（WS 76-2020）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15" w:type="dxa"/>
            <w:noWrap w:val="0"/>
            <w:vAlign w:val="center"/>
          </w:tcPr>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2145" w:type="dxa"/>
            <w:noWrap w:val="0"/>
            <w:vAlign w:val="center"/>
          </w:tcPr>
          <w:p>
            <w:pPr>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CT机</w:t>
            </w:r>
          </w:p>
        </w:tc>
        <w:tc>
          <w:tcPr>
            <w:tcW w:w="6975" w:type="dxa"/>
            <w:noWrap w:val="0"/>
            <w:vAlign w:val="center"/>
          </w:tcPr>
          <w:p>
            <w:pPr>
              <w:numPr>
                <w:ilvl w:val="0"/>
                <w:numId w:val="0"/>
              </w:numPr>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《X射线计算机体层摄影装置质量控制检测规范》（WS 519-2019）</w:t>
            </w:r>
            <w:r>
              <w:rPr>
                <w:rFonts w:hint="eastAsia" w:ascii="Times New Roman" w:hAnsi="Times New Roman" w:eastAsia="仿宋" w:cs="Times New Roman"/>
                <w:sz w:val="22"/>
                <w:szCs w:val="22"/>
                <w:lang w:val="en-US" w:eastAsia="zh-CN"/>
              </w:rPr>
              <w:t>或</w:t>
            </w:r>
          </w:p>
          <w:p>
            <w:pPr>
              <w:numPr>
                <w:ilvl w:val="0"/>
                <w:numId w:val="0"/>
              </w:numPr>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《X射线计算机断层摄影装置质量保证检测规范》（GB 17589-2011）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15" w:type="dxa"/>
            <w:noWrap w:val="0"/>
            <w:vAlign w:val="center"/>
          </w:tcPr>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6</w:t>
            </w:r>
          </w:p>
        </w:tc>
        <w:tc>
          <w:tcPr>
            <w:tcW w:w="2145" w:type="dxa"/>
            <w:noWrap w:val="0"/>
            <w:vAlign w:val="center"/>
          </w:tcPr>
          <w:p>
            <w:pPr>
              <w:jc w:val="center"/>
              <w:rPr>
                <w:rFonts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乳腺</w:t>
            </w:r>
            <w:r>
              <w:rPr>
                <w:rFonts w:ascii="Times New Roman" w:hAnsi="Times New Roman" w:eastAsia="仿宋" w:cs="Times New Roman"/>
                <w:sz w:val="24"/>
                <w:szCs w:val="24"/>
                <w:lang w:eastAsia="zh-CN"/>
              </w:rPr>
              <w:t>DR</w:t>
            </w:r>
          </w:p>
        </w:tc>
        <w:tc>
          <w:tcPr>
            <w:tcW w:w="6975" w:type="dxa"/>
            <w:noWrap w:val="0"/>
            <w:vAlign w:val="center"/>
          </w:tcPr>
          <w:p>
            <w:pPr>
              <w:numPr>
                <w:ilvl w:val="0"/>
                <w:numId w:val="0"/>
              </w:numPr>
              <w:ind w:left="0" w:leftChars="0" w:firstLine="0" w:firstLineChars="0"/>
              <w:jc w:val="both"/>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《医用X射线设备质量控制检测规范》（WS 76-2020）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15" w:type="dxa"/>
            <w:noWrap w:val="0"/>
            <w:vAlign w:val="center"/>
          </w:tcPr>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7</w:t>
            </w:r>
          </w:p>
        </w:tc>
        <w:tc>
          <w:tcPr>
            <w:tcW w:w="2145" w:type="dxa"/>
            <w:noWrap w:val="0"/>
            <w:vAlign w:val="center"/>
          </w:tcPr>
          <w:p>
            <w:pPr>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DSA设备</w:t>
            </w:r>
          </w:p>
        </w:tc>
        <w:tc>
          <w:tcPr>
            <w:tcW w:w="6975" w:type="dxa"/>
            <w:noWrap w:val="0"/>
            <w:vAlign w:val="center"/>
          </w:tcPr>
          <w:p>
            <w:pPr>
              <w:numPr>
                <w:ilvl w:val="0"/>
                <w:numId w:val="0"/>
              </w:numPr>
              <w:ind w:left="0" w:leftChars="0" w:firstLine="0" w:firstLineChars="0"/>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《医用X射线设备质量控制检测规范》（WS 76-2020）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15" w:type="dxa"/>
            <w:noWrap w:val="0"/>
            <w:vAlign w:val="center"/>
          </w:tcPr>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8</w:t>
            </w:r>
          </w:p>
        </w:tc>
        <w:tc>
          <w:tcPr>
            <w:tcW w:w="2145" w:type="dxa"/>
            <w:noWrap w:val="0"/>
            <w:vAlign w:val="center"/>
          </w:tcPr>
          <w:p>
            <w:pPr>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口内牙科机</w:t>
            </w:r>
          </w:p>
        </w:tc>
        <w:tc>
          <w:tcPr>
            <w:tcW w:w="6975" w:type="dxa"/>
            <w:noWrap w:val="0"/>
            <w:vAlign w:val="center"/>
          </w:tcPr>
          <w:p>
            <w:pPr>
              <w:numPr>
                <w:ilvl w:val="0"/>
                <w:numId w:val="0"/>
              </w:numPr>
              <w:ind w:left="0" w:leftChars="0" w:firstLine="0" w:firstLineChars="0"/>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《医用X射线设备质量控制检测规范》（WS 76-2020）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15" w:type="dxa"/>
            <w:noWrap w:val="0"/>
            <w:vAlign w:val="center"/>
          </w:tcPr>
          <w:p>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9</w:t>
            </w:r>
          </w:p>
        </w:tc>
        <w:tc>
          <w:tcPr>
            <w:tcW w:w="2145" w:type="dxa"/>
            <w:noWrap w:val="0"/>
            <w:vAlign w:val="center"/>
          </w:tcPr>
          <w:p>
            <w:pPr>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全景牙科机</w:t>
            </w:r>
          </w:p>
        </w:tc>
        <w:tc>
          <w:tcPr>
            <w:tcW w:w="6975" w:type="dxa"/>
            <w:noWrap w:val="0"/>
            <w:vAlign w:val="center"/>
          </w:tcPr>
          <w:p>
            <w:pPr>
              <w:numPr>
                <w:ilvl w:val="0"/>
                <w:numId w:val="0"/>
              </w:numPr>
              <w:ind w:left="0" w:leftChars="0" w:firstLine="0" w:firstLineChars="0"/>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《医用X射线设备质量控制检测规范》（WS 76-2020）</w:t>
            </w:r>
          </w:p>
        </w:tc>
      </w:tr>
    </w:tbl>
    <w:p>
      <w:pPr>
        <w:ind w:firstLine="640"/>
        <w:jc w:val="center"/>
        <w:rPr>
          <w:rFonts w:hint="eastAsia" w:ascii="Times New Roman" w:hAnsi="Times New Roman" w:cs="Times New Roman"/>
          <w:sz w:val="36"/>
          <w:szCs w:val="44"/>
          <w:lang w:val="en-US" w:eastAsia="zh-CN"/>
        </w:rPr>
      </w:pPr>
    </w:p>
    <w:p>
      <w:pPr>
        <w:ind w:firstLine="640"/>
        <w:jc w:val="center"/>
        <w:rPr>
          <w:rFonts w:hint="eastAsia" w:ascii="Times New Roman" w:hAnsi="Times New Roman" w:cs="Times New Roman"/>
          <w:sz w:val="36"/>
          <w:szCs w:val="44"/>
          <w:lang w:val="en-US" w:eastAsia="zh-CN"/>
        </w:rPr>
      </w:pPr>
    </w:p>
    <w:p>
      <w:pPr>
        <w:ind w:firstLine="640"/>
        <w:jc w:val="center"/>
        <w:rPr>
          <w:rFonts w:hint="eastAsia" w:ascii="Times New Roman" w:hAnsi="Times New Roman" w:cs="Times New Roman"/>
          <w:sz w:val="36"/>
          <w:szCs w:val="44"/>
          <w:lang w:val="en-US" w:eastAsia="zh-CN"/>
        </w:rPr>
      </w:pPr>
    </w:p>
    <w:p>
      <w:pPr>
        <w:ind w:firstLine="640"/>
        <w:jc w:val="center"/>
        <w:rPr>
          <w:rFonts w:hint="eastAsia" w:ascii="Times New Roman" w:hAnsi="Times New Roman" w:cs="Times New Roman"/>
          <w:sz w:val="36"/>
          <w:szCs w:val="44"/>
          <w:lang w:val="en-US" w:eastAsia="zh-CN"/>
        </w:rPr>
      </w:pPr>
    </w:p>
    <w:p>
      <w:pPr>
        <w:ind w:firstLine="640"/>
        <w:jc w:val="center"/>
        <w:rPr>
          <w:rFonts w:hint="default" w:ascii="Times New Roman" w:hAnsi="Times New Roman" w:eastAsia="仿宋" w:cs="Times New Roman"/>
          <w:sz w:val="28"/>
          <w:szCs w:val="28"/>
          <w:lang w:val="en-US" w:eastAsia="zh-CN"/>
        </w:rPr>
      </w:pPr>
      <w:r>
        <w:rPr>
          <w:rFonts w:hint="eastAsia" w:ascii="Times New Roman" w:hAnsi="Times New Roman" w:cs="Times New Roman"/>
          <w:sz w:val="36"/>
          <w:szCs w:val="44"/>
          <w:lang w:val="en-US" w:eastAsia="zh-CN"/>
        </w:rPr>
        <w:t>2023年安庆市监测点医院检测设备清单</w:t>
      </w:r>
    </w:p>
    <w:tbl>
      <w:tblPr>
        <w:tblStyle w:val="8"/>
        <w:tblW w:w="10014"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950"/>
        <w:gridCol w:w="872"/>
        <w:gridCol w:w="893"/>
        <w:gridCol w:w="911"/>
        <w:gridCol w:w="844"/>
        <w:gridCol w:w="829"/>
        <w:gridCol w:w="862"/>
        <w:gridCol w:w="796"/>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1127" w:type="dxa"/>
            <w:noWrap w:val="0"/>
            <w:vAlign w:val="center"/>
          </w:tcPr>
          <w:p>
            <w:pPr>
              <w:jc w:val="center"/>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序号</w:t>
            </w:r>
          </w:p>
        </w:tc>
        <w:tc>
          <w:tcPr>
            <w:tcW w:w="950" w:type="dxa"/>
            <w:noWrap w:val="0"/>
            <w:vAlign w:val="center"/>
          </w:tcPr>
          <w:p>
            <w:pPr>
              <w:jc w:val="center"/>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设备名称</w:t>
            </w:r>
          </w:p>
        </w:tc>
        <w:tc>
          <w:tcPr>
            <w:tcW w:w="872" w:type="dxa"/>
            <w:noWrap w:val="0"/>
            <w:vAlign w:val="center"/>
          </w:tcPr>
          <w:p>
            <w:pPr>
              <w:keepNext w:val="0"/>
              <w:keepLines w:val="0"/>
              <w:widowControl/>
              <w:suppressLineNumbers w:val="0"/>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安庆市立医院</w:t>
            </w:r>
          </w:p>
        </w:tc>
        <w:tc>
          <w:tcPr>
            <w:tcW w:w="893" w:type="dxa"/>
            <w:noWrap w:val="0"/>
            <w:vAlign w:val="center"/>
          </w:tcPr>
          <w:p>
            <w:pPr>
              <w:keepNext w:val="0"/>
              <w:keepLines w:val="0"/>
              <w:widowControl/>
              <w:suppressLineNumbers w:val="0"/>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宿松县人民医院</w:t>
            </w:r>
          </w:p>
        </w:tc>
        <w:tc>
          <w:tcPr>
            <w:tcW w:w="911" w:type="dxa"/>
            <w:noWrap w:val="0"/>
            <w:vAlign w:val="center"/>
          </w:tcPr>
          <w:p>
            <w:pPr>
              <w:keepNext w:val="0"/>
              <w:keepLines w:val="0"/>
              <w:widowControl/>
              <w:suppressLineNumbers w:val="0"/>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太湖县人民医院</w:t>
            </w:r>
          </w:p>
        </w:tc>
        <w:tc>
          <w:tcPr>
            <w:tcW w:w="844" w:type="dxa"/>
            <w:noWrap w:val="0"/>
            <w:vAlign w:val="center"/>
          </w:tcPr>
          <w:p>
            <w:pPr>
              <w:keepNext w:val="0"/>
              <w:keepLines w:val="0"/>
              <w:widowControl/>
              <w:suppressLineNumbers w:val="0"/>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桐城市青草中心卫生院</w:t>
            </w:r>
          </w:p>
        </w:tc>
        <w:tc>
          <w:tcPr>
            <w:tcW w:w="829" w:type="dxa"/>
            <w:noWrap w:val="0"/>
            <w:vAlign w:val="center"/>
          </w:tcPr>
          <w:p>
            <w:pPr>
              <w:keepNext w:val="0"/>
              <w:keepLines w:val="0"/>
              <w:widowControl/>
              <w:suppressLineNumbers w:val="0"/>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安庆市第一人民医院</w:t>
            </w:r>
          </w:p>
        </w:tc>
        <w:tc>
          <w:tcPr>
            <w:tcW w:w="862" w:type="dxa"/>
            <w:noWrap w:val="0"/>
            <w:vAlign w:val="center"/>
          </w:tcPr>
          <w:p>
            <w:pPr>
              <w:keepNext w:val="0"/>
              <w:keepLines w:val="0"/>
              <w:widowControl/>
              <w:suppressLineNumbers w:val="0"/>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安庆市第二人民医院</w:t>
            </w:r>
          </w:p>
        </w:tc>
        <w:tc>
          <w:tcPr>
            <w:tcW w:w="796" w:type="dxa"/>
            <w:noWrap w:val="0"/>
            <w:vAlign w:val="center"/>
          </w:tcPr>
          <w:p>
            <w:pPr>
              <w:keepNext w:val="0"/>
              <w:keepLines w:val="0"/>
              <w:widowControl/>
              <w:suppressLineNumbers w:val="0"/>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望江县医院</w:t>
            </w:r>
          </w:p>
        </w:tc>
        <w:tc>
          <w:tcPr>
            <w:tcW w:w="193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4" w:type="dxa"/>
            <w:gridSpan w:val="9"/>
            <w:noWrap w:val="0"/>
            <w:vAlign w:val="top"/>
          </w:tcPr>
          <w:p>
            <w:pPr>
              <w:ind w:firstLine="428" w:firstLineChars="0"/>
              <w:jc w:val="both"/>
              <w:rPr>
                <w:rFonts w:hint="eastAsia" w:ascii="Times New Roman" w:hAnsi="Times New Roman" w:cs="Times New Roman"/>
                <w:sz w:val="36"/>
                <w:szCs w:val="44"/>
                <w:vertAlign w:val="baseline"/>
                <w:lang w:val="en-US" w:eastAsia="zh-CN"/>
              </w:rPr>
            </w:pPr>
            <w:r>
              <w:rPr>
                <w:rFonts w:hint="eastAsia" w:ascii="Times New Roman" w:hAnsi="Times New Roman" w:cs="Times New Roman"/>
                <w:sz w:val="32"/>
                <w:szCs w:val="40"/>
                <w:vertAlign w:val="baseline"/>
                <w:lang w:val="en-US" w:eastAsia="zh-CN"/>
              </w:rPr>
              <w:t>一、放射治疗设备部分：</w:t>
            </w:r>
          </w:p>
        </w:tc>
        <w:tc>
          <w:tcPr>
            <w:tcW w:w="1930" w:type="dxa"/>
            <w:noWrap w:val="0"/>
            <w:vAlign w:val="top"/>
          </w:tcPr>
          <w:p>
            <w:pPr>
              <w:ind w:firstLine="428" w:firstLineChars="0"/>
              <w:jc w:val="both"/>
              <w:rPr>
                <w:rFonts w:hint="eastAsia" w:ascii="Times New Roman" w:hAnsi="Times New Roman" w:cs="Times New Roman"/>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1</w:t>
            </w:r>
          </w:p>
        </w:tc>
        <w:tc>
          <w:tcPr>
            <w:tcW w:w="950"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4"/>
                <w:szCs w:val="24"/>
                <w:u w:val="none"/>
                <w:lang w:val="en-US" w:eastAsia="zh-CN" w:bidi="ar"/>
              </w:rPr>
              <w:t>医用电子加速器</w:t>
            </w:r>
          </w:p>
        </w:tc>
        <w:tc>
          <w:tcPr>
            <w:tcW w:w="87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93"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911"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44"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6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796"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1930" w:type="dxa"/>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2</w:t>
            </w:r>
          </w:p>
        </w:tc>
        <w:tc>
          <w:tcPr>
            <w:tcW w:w="950"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4"/>
                <w:szCs w:val="24"/>
                <w:u w:val="none"/>
                <w:lang w:val="en-US" w:eastAsia="zh-CN" w:bidi="ar"/>
              </w:rPr>
              <w:t>头部伽玛刀</w:t>
            </w:r>
          </w:p>
        </w:tc>
        <w:tc>
          <w:tcPr>
            <w:tcW w:w="87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93"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911"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44"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3</w:t>
            </w:r>
          </w:p>
        </w:tc>
        <w:tc>
          <w:tcPr>
            <w:tcW w:w="950"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4"/>
                <w:szCs w:val="24"/>
                <w:u w:val="none"/>
                <w:lang w:val="en-US" w:eastAsia="zh-CN" w:bidi="ar"/>
              </w:rPr>
              <w:t>后装治疗机</w:t>
            </w:r>
          </w:p>
        </w:tc>
        <w:tc>
          <w:tcPr>
            <w:tcW w:w="87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93"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911"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44"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4" w:type="dxa"/>
            <w:gridSpan w:val="9"/>
            <w:noWrap w:val="0"/>
            <w:vAlign w:val="center"/>
          </w:tcPr>
          <w:p>
            <w:pPr>
              <w:jc w:val="both"/>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二、放射诊断设备部分：</w:t>
            </w:r>
          </w:p>
        </w:tc>
        <w:tc>
          <w:tcPr>
            <w:tcW w:w="1930" w:type="dxa"/>
            <w:noWrap w:val="0"/>
            <w:vAlign w:val="center"/>
          </w:tcPr>
          <w:p>
            <w:pPr>
              <w:jc w:val="both"/>
              <w:rPr>
                <w:rFonts w:hint="eastAsia" w:ascii="宋体" w:hAnsi="宋体" w:eastAsia="宋体" w:cs="宋体"/>
                <w:b/>
                <w:bCs/>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1</w:t>
            </w:r>
          </w:p>
        </w:tc>
        <w:tc>
          <w:tcPr>
            <w:tcW w:w="950" w:type="dxa"/>
            <w:noWrap w:val="0"/>
            <w:vAlign w:val="center"/>
          </w:tcPr>
          <w:p>
            <w:pPr>
              <w:keepNext w:val="0"/>
              <w:keepLines w:val="0"/>
              <w:widowControl/>
              <w:suppressLineNumbers w:val="0"/>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屏片X射线摄影机</w:t>
            </w:r>
          </w:p>
        </w:tc>
        <w:tc>
          <w:tcPr>
            <w:tcW w:w="87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93"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911"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44"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2</w:t>
            </w:r>
          </w:p>
        </w:tc>
        <w:tc>
          <w:tcPr>
            <w:tcW w:w="950" w:type="dxa"/>
            <w:noWrap w:val="0"/>
            <w:vAlign w:val="center"/>
          </w:tcPr>
          <w:p>
            <w:pPr>
              <w:keepNext w:val="0"/>
              <w:keepLines w:val="0"/>
              <w:widowControl/>
              <w:suppressLineNumbers w:val="0"/>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Ｘ射线透视机</w:t>
            </w:r>
          </w:p>
        </w:tc>
        <w:tc>
          <w:tcPr>
            <w:tcW w:w="87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93"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911"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44"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3</w:t>
            </w:r>
          </w:p>
        </w:tc>
        <w:tc>
          <w:tcPr>
            <w:tcW w:w="950" w:type="dxa"/>
            <w:noWrap w:val="0"/>
            <w:vAlign w:val="center"/>
          </w:tcPr>
          <w:p>
            <w:pPr>
              <w:keepNext w:val="0"/>
              <w:keepLines w:val="0"/>
              <w:widowControl/>
              <w:suppressLineNumbers w:val="0"/>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DR设备</w:t>
            </w:r>
          </w:p>
        </w:tc>
        <w:tc>
          <w:tcPr>
            <w:tcW w:w="87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93"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911"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44"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29"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4</w:t>
            </w:r>
          </w:p>
        </w:tc>
        <w:tc>
          <w:tcPr>
            <w:tcW w:w="950" w:type="dxa"/>
            <w:noWrap w:val="0"/>
            <w:vAlign w:val="center"/>
          </w:tcPr>
          <w:p>
            <w:pPr>
              <w:keepNext w:val="0"/>
              <w:keepLines w:val="0"/>
              <w:widowControl/>
              <w:suppressLineNumbers w:val="0"/>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CR设备</w:t>
            </w:r>
          </w:p>
        </w:tc>
        <w:tc>
          <w:tcPr>
            <w:tcW w:w="87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93"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911"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44"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5</w:t>
            </w:r>
          </w:p>
        </w:tc>
        <w:tc>
          <w:tcPr>
            <w:tcW w:w="950" w:type="dxa"/>
            <w:noWrap w:val="0"/>
            <w:vAlign w:val="center"/>
          </w:tcPr>
          <w:p>
            <w:pPr>
              <w:keepNext w:val="0"/>
              <w:keepLines w:val="0"/>
              <w:widowControl/>
              <w:suppressLineNumbers w:val="0"/>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CT机</w:t>
            </w:r>
          </w:p>
        </w:tc>
        <w:tc>
          <w:tcPr>
            <w:tcW w:w="87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93"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911"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44"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6</w:t>
            </w:r>
          </w:p>
        </w:tc>
        <w:tc>
          <w:tcPr>
            <w:tcW w:w="950" w:type="dxa"/>
            <w:noWrap w:val="0"/>
            <w:vAlign w:val="center"/>
          </w:tcPr>
          <w:p>
            <w:pPr>
              <w:keepNext w:val="0"/>
              <w:keepLines w:val="0"/>
              <w:widowControl/>
              <w:suppressLineNumbers w:val="0"/>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乳腺DR</w:t>
            </w:r>
          </w:p>
        </w:tc>
        <w:tc>
          <w:tcPr>
            <w:tcW w:w="87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93"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911"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44"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7</w:t>
            </w:r>
          </w:p>
        </w:tc>
        <w:tc>
          <w:tcPr>
            <w:tcW w:w="950" w:type="dxa"/>
            <w:noWrap w:val="0"/>
            <w:vAlign w:val="center"/>
          </w:tcPr>
          <w:p>
            <w:pPr>
              <w:keepNext w:val="0"/>
              <w:keepLines w:val="0"/>
              <w:widowControl/>
              <w:suppressLineNumbers w:val="0"/>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DSA设备</w:t>
            </w:r>
          </w:p>
        </w:tc>
        <w:tc>
          <w:tcPr>
            <w:tcW w:w="87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93"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911"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44"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8</w:t>
            </w:r>
          </w:p>
        </w:tc>
        <w:tc>
          <w:tcPr>
            <w:tcW w:w="950" w:type="dxa"/>
            <w:noWrap w:val="0"/>
            <w:vAlign w:val="center"/>
          </w:tcPr>
          <w:p>
            <w:pPr>
              <w:keepNext w:val="0"/>
              <w:keepLines w:val="0"/>
              <w:widowControl/>
              <w:suppressLineNumbers w:val="0"/>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口内牙科机</w:t>
            </w:r>
          </w:p>
        </w:tc>
        <w:tc>
          <w:tcPr>
            <w:tcW w:w="87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93"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911"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44"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jc w:val="center"/>
              <w:rPr>
                <w:rFonts w:hint="eastAsia" w:ascii="Times New Roman" w:hAnsi="Times New Roman" w:cs="Times New Roman"/>
                <w:sz w:val="36"/>
                <w:szCs w:val="44"/>
                <w:vertAlign w:val="baseline"/>
                <w:lang w:val="en-US" w:eastAsia="zh-CN"/>
              </w:rPr>
            </w:pPr>
            <w:r>
              <w:rPr>
                <w:rFonts w:hint="eastAsia" w:ascii="Times New Roman" w:hAnsi="Times New Roman" w:cs="Times New Roman"/>
                <w:sz w:val="32"/>
                <w:szCs w:val="40"/>
                <w:vertAlign w:val="baseline"/>
                <w:lang w:val="en-US" w:eastAsia="zh-CN"/>
              </w:rPr>
              <w:t>9</w:t>
            </w:r>
          </w:p>
        </w:tc>
        <w:tc>
          <w:tcPr>
            <w:tcW w:w="95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全景牙科机</w:t>
            </w:r>
          </w:p>
        </w:tc>
        <w:tc>
          <w:tcPr>
            <w:tcW w:w="872"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89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p>
        </w:tc>
        <w:tc>
          <w:tcPr>
            <w:tcW w:w="911"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84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7" w:type="dxa"/>
            <w:gridSpan w:val="2"/>
            <w:noWrap w:val="0"/>
            <w:vAlign w:val="center"/>
          </w:tcPr>
          <w:p>
            <w:pPr>
              <w:jc w:val="center"/>
              <w:rPr>
                <w:rFonts w:hint="eastAsia" w:ascii="宋体" w:hAnsi="宋体" w:eastAsia="宋体" w:cs="宋体"/>
                <w:i w:val="0"/>
                <w:iCs w:val="0"/>
                <w:color w:val="000000"/>
                <w:kern w:val="0"/>
                <w:sz w:val="28"/>
                <w:szCs w:val="28"/>
                <w:u w:val="none"/>
                <w:lang w:val="en-US" w:eastAsia="zh-CN" w:bidi="ar"/>
              </w:rPr>
            </w:pPr>
            <w:r>
              <w:rPr>
                <w:rFonts w:hint="eastAsia" w:ascii="Times New Roman" w:hAnsi="Times New Roman" w:cs="Times New Roman"/>
                <w:sz w:val="32"/>
                <w:szCs w:val="40"/>
                <w:vertAlign w:val="baseline"/>
                <w:lang w:val="en-US" w:eastAsia="zh-CN"/>
              </w:rPr>
              <w:t>合计</w:t>
            </w:r>
          </w:p>
        </w:tc>
        <w:tc>
          <w:tcPr>
            <w:tcW w:w="872"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w:t>
            </w:r>
          </w:p>
        </w:tc>
        <w:tc>
          <w:tcPr>
            <w:tcW w:w="89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w:t>
            </w:r>
          </w:p>
        </w:tc>
        <w:tc>
          <w:tcPr>
            <w:tcW w:w="911"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w:t>
            </w:r>
          </w:p>
        </w:tc>
        <w:tc>
          <w:tcPr>
            <w:tcW w:w="84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829"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862"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79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1930" w:type="dxa"/>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20</w:t>
            </w:r>
          </w:p>
        </w:tc>
      </w:tr>
    </w:tbl>
    <w:p>
      <w:pPr>
        <w:pStyle w:val="10"/>
        <w:widowControl w:val="0"/>
        <w:numPr>
          <w:ilvl w:val="0"/>
          <w:numId w:val="0"/>
        </w:numPr>
        <w:autoSpaceDE w:val="0"/>
        <w:autoSpaceDN w:val="0"/>
        <w:adjustRightInd w:val="0"/>
        <w:spacing w:line="500" w:lineRule="exact"/>
        <w:ind w:left="568" w:leftChars="0"/>
        <w:jc w:val="both"/>
        <w:rPr>
          <w:rFonts w:hint="eastAsia" w:ascii="Times New Roman" w:hAnsi="Times New Roman" w:eastAsia="黑体"/>
          <w:sz w:val="28"/>
          <w:szCs w:val="28"/>
          <w:lang w:eastAsia="zh-CN"/>
        </w:rPr>
      </w:pPr>
    </w:p>
    <w:bookmarkEnd w:id="1"/>
    <w:p>
      <w:pPr>
        <w:pStyle w:val="10"/>
        <w:widowControl w:val="0"/>
        <w:numPr>
          <w:ilvl w:val="0"/>
          <w:numId w:val="0"/>
        </w:numPr>
        <w:autoSpaceDE w:val="0"/>
        <w:autoSpaceDN w:val="0"/>
        <w:adjustRightInd w:val="0"/>
        <w:spacing w:line="500" w:lineRule="exact"/>
        <w:ind w:left="568" w:leftChars="0"/>
        <w:jc w:val="both"/>
        <w:rPr>
          <w:rFonts w:hint="eastAsia" w:ascii="Times New Roman" w:hAnsi="Times New Roman" w:eastAsia="黑体" w:cs="Times New Roman"/>
          <w:sz w:val="24"/>
          <w:szCs w:val="24"/>
          <w:highlight w:val="none"/>
          <w:lang w:val="zh-CN" w:eastAsia="zh-CN"/>
        </w:rPr>
      </w:pPr>
      <w:r>
        <w:rPr>
          <w:rFonts w:hint="eastAsia" w:ascii="Times New Roman" w:hAnsi="Times New Roman" w:eastAsia="黑体" w:cs="Times New Roman"/>
          <w:sz w:val="28"/>
          <w:szCs w:val="28"/>
          <w:lang w:val="zh-CN" w:eastAsia="zh-CN"/>
        </w:rPr>
        <w:t>二、商务要求</w:t>
      </w:r>
      <w:r>
        <w:rPr>
          <w:rFonts w:hint="eastAsia" w:ascii="Times New Roman" w:hAnsi="Times New Roman" w:eastAsia="黑体" w:cs="Times New Roman"/>
          <w:sz w:val="28"/>
          <w:szCs w:val="28"/>
          <w:lang w:val="en-US" w:eastAsia="zh-CN"/>
        </w:rPr>
        <w:t xml:space="preserve">        </w:t>
      </w:r>
      <w:r>
        <w:rPr>
          <w:rFonts w:hint="eastAsia" w:ascii="Times New Roman" w:hAnsi="Times New Roman" w:eastAsia="黑体" w:cs="Times New Roman"/>
          <w:sz w:val="24"/>
          <w:szCs w:val="24"/>
          <w:highlight w:val="none"/>
          <w:lang w:val="en-US" w:eastAsia="zh-CN"/>
        </w:rPr>
        <w:t xml:space="preserve">       </w:t>
      </w:r>
    </w:p>
    <w:p>
      <w:pPr>
        <w:spacing w:line="400" w:lineRule="exact"/>
        <w:ind w:firstLine="482" w:firstLineChars="200"/>
        <w:rPr>
          <w:rFonts w:hint="eastAsia" w:ascii="仿宋" w:hAnsi="仿宋" w:eastAsia="仿宋" w:cs="仿宋"/>
          <w:highlight w:val="none"/>
        </w:rPr>
      </w:pPr>
      <w:r>
        <w:rPr>
          <w:rFonts w:hint="eastAsia" w:ascii="仿宋" w:hAnsi="仿宋" w:eastAsia="仿宋" w:cs="仿宋"/>
          <w:b/>
          <w:bCs/>
          <w:highlight w:val="none"/>
        </w:rPr>
        <w:t>（一）报价要求：</w:t>
      </w:r>
      <w:r>
        <w:rPr>
          <w:rFonts w:hint="eastAsia" w:ascii="仿宋" w:hAnsi="仿宋" w:eastAsia="仿宋" w:cs="仿宋"/>
          <w:highlight w:val="none"/>
        </w:rPr>
        <w:t>供应商的报价应包括人员费用、运输费用、</w:t>
      </w:r>
      <w:r>
        <w:rPr>
          <w:rFonts w:hint="eastAsia" w:ascii="仿宋" w:hAnsi="仿宋" w:eastAsia="仿宋" w:cs="仿宋"/>
          <w:highlight w:val="none"/>
          <w:lang w:eastAsia="zh-CN"/>
        </w:rPr>
        <w:t>产品费、</w:t>
      </w:r>
      <w:r>
        <w:rPr>
          <w:rFonts w:hint="eastAsia" w:ascii="仿宋" w:hAnsi="仿宋" w:eastAsia="仿宋" w:cs="仿宋"/>
          <w:highlight w:val="none"/>
        </w:rPr>
        <w:t>管理费及税金等为完成</w:t>
      </w:r>
      <w:r>
        <w:rPr>
          <w:rFonts w:hint="eastAsia" w:ascii="仿宋" w:hAnsi="仿宋" w:eastAsia="仿宋" w:cs="仿宋"/>
          <w:highlight w:val="none"/>
          <w:lang w:eastAsia="zh-CN"/>
        </w:rPr>
        <w:t>询价</w:t>
      </w:r>
      <w:r>
        <w:rPr>
          <w:rFonts w:hint="eastAsia" w:ascii="仿宋" w:hAnsi="仿宋" w:eastAsia="仿宋" w:cs="仿宋"/>
          <w:highlight w:val="none"/>
        </w:rPr>
        <w:t>文件规定全部内容所需的一切应有费用。</w:t>
      </w:r>
    </w:p>
    <w:p>
      <w:pPr>
        <w:spacing w:line="400" w:lineRule="exact"/>
        <w:ind w:firstLine="482" w:firstLineChars="200"/>
        <w:rPr>
          <w:rFonts w:hint="eastAsia" w:ascii="仿宋" w:hAnsi="仿宋" w:eastAsia="仿宋" w:cs="仿宋"/>
          <w:snapToGrid w:val="0"/>
          <w:highlight w:val="none"/>
          <w:lang w:val="zh-CN" w:eastAsia="zh-CN"/>
        </w:rPr>
      </w:pPr>
      <w:r>
        <w:rPr>
          <w:rFonts w:hint="eastAsia" w:ascii="仿宋" w:hAnsi="仿宋" w:eastAsia="仿宋" w:cs="仿宋"/>
          <w:b/>
          <w:bCs/>
          <w:snapToGrid w:val="0"/>
          <w:highlight w:val="none"/>
          <w:lang w:eastAsia="zh-CN"/>
        </w:rPr>
        <w:t>（二）服务地点：安庆市境内</w:t>
      </w:r>
    </w:p>
    <w:p>
      <w:pPr>
        <w:spacing w:line="400" w:lineRule="exact"/>
        <w:ind w:firstLine="480" w:firstLineChars="200"/>
        <w:rPr>
          <w:rFonts w:hint="eastAsia" w:ascii="仿宋" w:hAnsi="仿宋" w:eastAsia="仿宋" w:cs="仿宋"/>
        </w:rPr>
      </w:pPr>
      <w:r>
        <w:rPr>
          <w:rFonts w:hint="eastAsia" w:ascii="仿宋" w:hAnsi="仿宋" w:eastAsia="仿宋" w:cs="仿宋"/>
          <w:highlight w:val="none"/>
        </w:rPr>
        <w:t>（</w:t>
      </w:r>
      <w:r>
        <w:rPr>
          <w:rFonts w:hint="eastAsia" w:ascii="仿宋" w:hAnsi="仿宋" w:eastAsia="仿宋" w:cs="仿宋"/>
          <w:b/>
          <w:bCs/>
          <w:snapToGrid w:val="0"/>
          <w:highlight w:val="none"/>
          <w:lang w:eastAsia="zh-CN"/>
        </w:rPr>
        <w:t>三）</w:t>
      </w:r>
      <w:r>
        <w:rPr>
          <w:rFonts w:hint="eastAsia" w:ascii="仿宋" w:hAnsi="仿宋" w:eastAsia="仿宋" w:cs="仿宋"/>
          <w:b/>
          <w:bCs/>
          <w:snapToGrid w:val="0"/>
          <w:lang w:val="en-US" w:eastAsia="zh-CN"/>
        </w:rPr>
        <w:t>付款及结算方式：</w:t>
      </w:r>
      <w:r>
        <w:rPr>
          <w:rFonts w:hint="eastAsia" w:ascii="仿宋" w:hAnsi="仿宋" w:eastAsia="仿宋" w:cs="仿宋"/>
          <w:snapToGrid w:val="0"/>
          <w:lang w:val="en-US" w:eastAsia="zh-CN"/>
        </w:rPr>
        <w:t>每批次</w:t>
      </w:r>
      <w:r>
        <w:rPr>
          <w:rFonts w:hint="eastAsia" w:ascii="仿宋" w:hAnsi="仿宋" w:eastAsia="仿宋" w:cs="仿宋"/>
        </w:rPr>
        <w:t>验收合格后</w:t>
      </w:r>
      <w:r>
        <w:rPr>
          <w:rFonts w:hint="eastAsia" w:ascii="仿宋" w:hAnsi="仿宋" w:eastAsia="仿宋" w:cs="仿宋"/>
          <w:snapToGrid w:val="0"/>
          <w:lang w:val="zh-CN"/>
        </w:rPr>
        <w:t>，成交供应商按采购人要求凭国家正式发票及相关证明文件向采购人申请付款，采购人收到申请后在</w:t>
      </w:r>
      <w:r>
        <w:rPr>
          <w:rFonts w:hint="eastAsia" w:ascii="仿宋" w:hAnsi="仿宋" w:eastAsia="仿宋" w:cs="仿宋"/>
          <w:snapToGrid w:val="0"/>
          <w:lang w:val="en-US" w:eastAsia="zh-CN"/>
        </w:rPr>
        <w:t>15</w:t>
      </w:r>
      <w:r>
        <w:rPr>
          <w:rFonts w:hint="eastAsia" w:ascii="仿宋" w:hAnsi="仿宋" w:eastAsia="仿宋" w:cs="仿宋"/>
          <w:snapToGrid w:val="0"/>
          <w:lang w:val="zh-CN"/>
        </w:rPr>
        <w:t>个工作日内结清</w:t>
      </w:r>
      <w:r>
        <w:rPr>
          <w:rFonts w:hint="eastAsia" w:ascii="仿宋" w:hAnsi="仿宋" w:eastAsia="仿宋" w:cs="仿宋"/>
          <w:snapToGrid w:val="0"/>
          <w:lang w:val="zh-CN" w:eastAsia="zh-CN"/>
        </w:rPr>
        <w:t>全部</w:t>
      </w:r>
      <w:r>
        <w:rPr>
          <w:rFonts w:hint="eastAsia" w:ascii="仿宋" w:hAnsi="仿宋" w:eastAsia="仿宋" w:cs="仿宋"/>
          <w:snapToGrid w:val="0"/>
          <w:lang w:val="zh-CN"/>
        </w:rPr>
        <w:t>货款。</w:t>
      </w:r>
    </w:p>
    <w:p>
      <w:pPr>
        <w:spacing w:line="400" w:lineRule="exact"/>
        <w:ind w:firstLine="560" w:firstLineChars="200"/>
        <w:rPr>
          <w:rFonts w:hint="eastAsia" w:ascii="Times New Roman" w:hAnsi="Times New Roman" w:eastAsia="黑体" w:cs="Times New Roman"/>
          <w:sz w:val="28"/>
          <w:szCs w:val="28"/>
          <w:lang w:val="en-US" w:eastAsia="zh-CN" w:bidi="ar-SA"/>
        </w:rPr>
      </w:pPr>
      <w:r>
        <w:rPr>
          <w:rFonts w:hint="eastAsia" w:ascii="Times New Roman" w:hAnsi="Times New Roman" w:eastAsia="黑体" w:cs="Times New Roman"/>
          <w:sz w:val="28"/>
          <w:szCs w:val="28"/>
          <w:lang w:val="en-US" w:eastAsia="zh-CN" w:bidi="ar-SA"/>
        </w:rPr>
        <w:t>三、检测要求：</w:t>
      </w:r>
    </w:p>
    <w:p>
      <w:pPr>
        <w:spacing w:line="400" w:lineRule="exact"/>
        <w:ind w:firstLine="482" w:firstLineChars="200"/>
        <w:rPr>
          <w:rFonts w:hint="default" w:ascii="仿宋" w:hAnsi="仿宋" w:eastAsia="仿宋" w:cs="仿宋"/>
          <w:snapToGrid w:val="0"/>
          <w:lang w:val="en-US" w:eastAsia="zh-CN"/>
        </w:rPr>
      </w:pPr>
      <w:r>
        <w:rPr>
          <w:rFonts w:hint="eastAsia" w:ascii="仿宋" w:hAnsi="仿宋" w:eastAsia="仿宋" w:cs="仿宋"/>
          <w:b/>
          <w:bCs/>
          <w:snapToGrid w:val="0"/>
          <w:lang w:val="en-US" w:eastAsia="zh-CN"/>
        </w:rPr>
        <w:t>（一）</w:t>
      </w:r>
      <w:r>
        <w:rPr>
          <w:rFonts w:hint="default" w:ascii="仿宋" w:hAnsi="仿宋" w:eastAsia="仿宋" w:cs="仿宋"/>
          <w:b/>
          <w:bCs/>
          <w:snapToGrid w:val="0"/>
          <w:lang w:val="en-US" w:eastAsia="zh-CN"/>
        </w:rPr>
        <w:t>放射诊断设备放射防护监测</w:t>
      </w:r>
      <w:r>
        <w:rPr>
          <w:rFonts w:hint="eastAsia" w:ascii="仿宋" w:hAnsi="仿宋" w:eastAsia="仿宋" w:cs="仿宋"/>
          <w:snapToGrid w:val="0"/>
          <w:lang w:val="en-US" w:eastAsia="zh-CN"/>
        </w:rPr>
        <w:t>：对安庆市指定的每家监测点医院已有放射设备每类</w:t>
      </w:r>
      <w:r>
        <w:rPr>
          <w:rFonts w:hint="default" w:ascii="仿宋" w:hAnsi="仿宋" w:eastAsia="仿宋" w:cs="仿宋"/>
          <w:snapToGrid w:val="0"/>
          <w:lang w:val="en-US" w:eastAsia="zh-CN"/>
        </w:rPr>
        <w:t>监测1台</w:t>
      </w:r>
      <w:r>
        <w:rPr>
          <w:rFonts w:hint="eastAsia" w:ascii="仿宋" w:hAnsi="仿宋" w:eastAsia="仿宋" w:cs="仿宋"/>
          <w:snapToGrid w:val="0"/>
          <w:lang w:val="en-US" w:eastAsia="zh-CN"/>
        </w:rPr>
        <w:t>。</w:t>
      </w:r>
      <w:r>
        <w:rPr>
          <w:rFonts w:hint="default" w:ascii="仿宋" w:hAnsi="仿宋" w:eastAsia="仿宋" w:cs="仿宋"/>
          <w:snapToGrid w:val="0"/>
          <w:lang w:val="en-US" w:eastAsia="zh-CN"/>
        </w:rPr>
        <w:t xml:space="preserve"> </w:t>
      </w:r>
    </w:p>
    <w:p>
      <w:pPr>
        <w:spacing w:line="400" w:lineRule="exact"/>
        <w:ind w:firstLine="482" w:firstLineChars="200"/>
        <w:rPr>
          <w:rFonts w:hint="default" w:ascii="仿宋" w:hAnsi="仿宋" w:eastAsia="仿宋" w:cs="仿宋"/>
          <w:snapToGrid w:val="0"/>
          <w:lang w:val="en-US" w:eastAsia="zh-CN"/>
        </w:rPr>
      </w:pPr>
      <w:r>
        <w:rPr>
          <w:rFonts w:hint="eastAsia" w:ascii="仿宋" w:hAnsi="仿宋" w:eastAsia="仿宋" w:cs="仿宋"/>
          <w:b/>
          <w:bCs/>
          <w:snapToGrid w:val="0"/>
          <w:lang w:val="en-US" w:eastAsia="zh-CN"/>
        </w:rPr>
        <w:t>（二）</w:t>
      </w:r>
      <w:r>
        <w:rPr>
          <w:rFonts w:hint="default" w:ascii="仿宋" w:hAnsi="仿宋" w:eastAsia="仿宋" w:cs="仿宋"/>
          <w:b/>
          <w:bCs/>
          <w:snapToGrid w:val="0"/>
          <w:lang w:val="en-US" w:eastAsia="zh-CN"/>
        </w:rPr>
        <w:t>放射诊断场所放射防护监测</w:t>
      </w:r>
      <w:r>
        <w:rPr>
          <w:rFonts w:hint="eastAsia" w:ascii="仿宋" w:hAnsi="仿宋" w:eastAsia="仿宋" w:cs="仿宋"/>
          <w:b/>
          <w:bCs/>
          <w:snapToGrid w:val="0"/>
          <w:lang w:val="en-US" w:eastAsia="zh-CN"/>
        </w:rPr>
        <w:t>：</w:t>
      </w:r>
      <w:r>
        <w:rPr>
          <w:rFonts w:hint="default" w:ascii="仿宋" w:hAnsi="仿宋" w:eastAsia="仿宋" w:cs="仿宋"/>
          <w:snapToGrid w:val="0"/>
          <w:lang w:val="en-US" w:eastAsia="zh-CN"/>
        </w:rPr>
        <w:t>对放射诊疗设备监测的同时开展放射诊疗场所放射防护监测</w:t>
      </w:r>
      <w:r>
        <w:rPr>
          <w:rFonts w:hint="eastAsia" w:ascii="仿宋" w:hAnsi="仿宋" w:eastAsia="仿宋" w:cs="仿宋"/>
          <w:snapToGrid w:val="0"/>
          <w:lang w:val="en-US" w:eastAsia="zh-CN"/>
        </w:rPr>
        <w:t>（</w:t>
      </w:r>
      <w:r>
        <w:rPr>
          <w:rFonts w:hint="default" w:ascii="仿宋" w:hAnsi="仿宋" w:eastAsia="仿宋" w:cs="仿宋"/>
          <w:snapToGrid w:val="0"/>
          <w:lang w:val="en-US" w:eastAsia="zh-CN"/>
        </w:rPr>
        <w:t>没有固定使用机房的移动X射线设备</w:t>
      </w:r>
      <w:r>
        <w:rPr>
          <w:rFonts w:hint="eastAsia" w:ascii="仿宋" w:hAnsi="仿宋" w:eastAsia="仿宋" w:cs="仿宋"/>
          <w:snapToGrid w:val="0"/>
          <w:lang w:val="en-US" w:eastAsia="zh-CN"/>
        </w:rPr>
        <w:t>无需进行相关场所放射防护监测）</w:t>
      </w:r>
      <w:r>
        <w:rPr>
          <w:rFonts w:hint="default" w:ascii="仿宋" w:hAnsi="仿宋" w:eastAsia="仿宋" w:cs="仿宋"/>
          <w:snapToGrid w:val="0"/>
          <w:lang w:val="en-US" w:eastAsia="zh-CN"/>
        </w:rPr>
        <w:t>。</w:t>
      </w:r>
    </w:p>
    <w:p>
      <w:pPr>
        <w:spacing w:line="400" w:lineRule="exact"/>
        <w:ind w:firstLine="480" w:firstLineChars="200"/>
        <w:rPr>
          <w:rFonts w:hint="eastAsia" w:ascii="仿宋" w:hAnsi="仿宋" w:eastAsia="仿宋" w:cs="仿宋"/>
          <w:snapToGrid w:val="0"/>
          <w:lang w:val="en-US" w:eastAsia="zh-CN"/>
        </w:rPr>
      </w:pPr>
      <w:r>
        <w:rPr>
          <w:rFonts w:hint="eastAsia" w:ascii="仿宋" w:hAnsi="仿宋" w:eastAsia="仿宋" w:cs="仿宋"/>
          <w:snapToGrid w:val="0"/>
          <w:lang w:val="en-US" w:eastAsia="zh-CN"/>
        </w:rPr>
        <w:t>（三）</w:t>
      </w:r>
      <w:r>
        <w:rPr>
          <w:rFonts w:hint="default" w:ascii="仿宋" w:hAnsi="仿宋" w:eastAsia="仿宋" w:cs="仿宋"/>
          <w:snapToGrid w:val="0"/>
          <w:lang w:val="en-US" w:eastAsia="zh-CN"/>
        </w:rPr>
        <w:t>依据《放射治疗放射防护要求》（GBZ 121-2020）</w:t>
      </w:r>
      <w:r>
        <w:rPr>
          <w:rFonts w:hint="eastAsia" w:ascii="仿宋" w:hAnsi="仿宋" w:eastAsia="仿宋" w:cs="仿宋"/>
          <w:snapToGrid w:val="0"/>
          <w:lang w:val="en-US" w:eastAsia="zh-CN"/>
        </w:rPr>
        <w:t>及</w:t>
      </w:r>
      <w:r>
        <w:rPr>
          <w:rFonts w:hint="default" w:ascii="仿宋" w:hAnsi="仿宋" w:eastAsia="仿宋" w:cs="仿宋"/>
          <w:snapToGrid w:val="0"/>
          <w:lang w:val="en-US" w:eastAsia="zh-CN"/>
        </w:rPr>
        <w:t>《放射诊断放射防护要求》（GBZ 130-2020），对放射治疗</w:t>
      </w:r>
      <w:r>
        <w:rPr>
          <w:rFonts w:hint="eastAsia" w:ascii="仿宋" w:hAnsi="仿宋" w:eastAsia="仿宋" w:cs="仿宋"/>
          <w:snapToGrid w:val="0"/>
          <w:lang w:val="en-US" w:eastAsia="zh-CN"/>
        </w:rPr>
        <w:t>或者诊疗</w:t>
      </w:r>
      <w:r>
        <w:rPr>
          <w:rFonts w:hint="default" w:ascii="仿宋" w:hAnsi="仿宋" w:eastAsia="仿宋" w:cs="仿宋"/>
          <w:snapToGrid w:val="0"/>
          <w:lang w:val="en-US" w:eastAsia="zh-CN"/>
        </w:rPr>
        <w:t>照射室周围及关注点,包括</w:t>
      </w:r>
      <w:r>
        <w:rPr>
          <w:rFonts w:hint="eastAsia" w:ascii="仿宋" w:hAnsi="仿宋" w:eastAsia="仿宋" w:cs="仿宋"/>
          <w:snapToGrid w:val="0"/>
          <w:lang w:val="en-US" w:eastAsia="zh-CN"/>
        </w:rPr>
        <w:t>机房四周和</w:t>
      </w:r>
      <w:r>
        <w:rPr>
          <w:rFonts w:hint="default" w:ascii="仿宋" w:hAnsi="仿宋" w:eastAsia="仿宋" w:cs="仿宋"/>
          <w:snapToGrid w:val="0"/>
          <w:lang w:val="en-US" w:eastAsia="zh-CN"/>
        </w:rPr>
        <w:t>楼上楼下各方向屏蔽体外、观察窗、机房门、操作室门、操作人员位等处，进行放射防护监测</w:t>
      </w:r>
      <w:r>
        <w:rPr>
          <w:rFonts w:hint="eastAsia" w:ascii="仿宋" w:hAnsi="仿宋" w:eastAsia="仿宋" w:cs="仿宋"/>
          <w:snapToGrid w:val="0"/>
          <w:lang w:val="en-US" w:eastAsia="zh-CN"/>
        </w:rPr>
        <w:t>。</w:t>
      </w:r>
    </w:p>
    <w:p>
      <w:pPr>
        <w:spacing w:line="400" w:lineRule="exact"/>
        <w:ind w:firstLine="482" w:firstLineChars="200"/>
        <w:rPr>
          <w:rFonts w:hint="default" w:ascii="仿宋" w:hAnsi="仿宋" w:eastAsia="仿宋" w:cs="仿宋"/>
          <w:snapToGrid w:val="0"/>
          <w:lang w:val="en-US" w:eastAsia="zh-CN"/>
        </w:rPr>
      </w:pPr>
      <w:r>
        <w:rPr>
          <w:rFonts w:hint="eastAsia" w:ascii="仿宋" w:hAnsi="仿宋" w:eastAsia="仿宋" w:cs="仿宋"/>
          <w:b/>
          <w:bCs/>
          <w:snapToGrid w:val="0"/>
          <w:lang w:val="en-US" w:eastAsia="zh-CN"/>
        </w:rPr>
        <w:t>（四）质量控制：</w:t>
      </w:r>
      <w:r>
        <w:rPr>
          <w:rFonts w:hint="eastAsia" w:ascii="仿宋" w:hAnsi="仿宋" w:eastAsia="仿宋" w:cs="仿宋"/>
          <w:snapToGrid w:val="0"/>
          <w:lang w:val="en-US" w:eastAsia="zh-CN"/>
        </w:rPr>
        <w:t>开展</w:t>
      </w:r>
      <w:r>
        <w:rPr>
          <w:rFonts w:hint="default" w:ascii="仿宋" w:hAnsi="仿宋" w:eastAsia="仿宋" w:cs="仿宋"/>
          <w:snapToGrid w:val="0"/>
          <w:lang w:val="en-US" w:eastAsia="zh-CN"/>
        </w:rPr>
        <w:t>监测机构须保存好设备检测的原始记录或检测报告，要求数据真实可靠，数据处理过程完整、可追溯，结果规范科学。所使用的计量仪器应可溯源，有年度的检定/校准证书。</w:t>
      </w:r>
    </w:p>
    <w:p>
      <w:pPr>
        <w:numPr>
          <w:ilvl w:val="0"/>
          <w:numId w:val="2"/>
        </w:numPr>
        <w:spacing w:line="400" w:lineRule="exact"/>
        <w:ind w:firstLine="560" w:firstLineChars="200"/>
        <w:rPr>
          <w:rFonts w:hint="eastAsia" w:ascii="Times New Roman" w:hAnsi="Times New Roman" w:eastAsia="黑体" w:cs="Times New Roman"/>
          <w:sz w:val="28"/>
          <w:szCs w:val="28"/>
          <w:lang w:val="en-US" w:eastAsia="zh-CN" w:bidi="ar-SA"/>
        </w:rPr>
      </w:pPr>
      <w:r>
        <w:rPr>
          <w:rFonts w:hint="eastAsia" w:ascii="Times New Roman" w:hAnsi="Times New Roman" w:eastAsia="黑体" w:cs="Times New Roman"/>
          <w:sz w:val="28"/>
          <w:szCs w:val="28"/>
          <w:lang w:val="en-US" w:eastAsia="zh-CN" w:bidi="ar-SA"/>
        </w:rPr>
        <w:t>其它要求：</w:t>
      </w:r>
    </w:p>
    <w:p>
      <w:pPr>
        <w:numPr>
          <w:ilvl w:val="0"/>
          <w:numId w:val="3"/>
        </w:numPr>
        <w:spacing w:line="400" w:lineRule="exact"/>
        <w:rPr>
          <w:rFonts w:hint="eastAsia" w:ascii="仿宋" w:hAnsi="仿宋" w:eastAsia="仿宋" w:cs="仿宋"/>
          <w:snapToGrid w:val="0"/>
          <w:lang w:val="en-US" w:eastAsia="zh-CN"/>
        </w:rPr>
      </w:pPr>
      <w:r>
        <w:rPr>
          <w:rFonts w:hint="default" w:ascii="仿宋" w:hAnsi="仿宋" w:eastAsia="仿宋" w:cs="仿宋"/>
          <w:snapToGrid w:val="0"/>
          <w:lang w:val="en-US" w:eastAsia="zh-CN"/>
        </w:rPr>
        <w:t>具有</w:t>
      </w:r>
      <w:r>
        <w:rPr>
          <w:rFonts w:hint="eastAsia" w:ascii="仿宋" w:hAnsi="仿宋" w:eastAsia="仿宋" w:cs="仿宋"/>
          <w:snapToGrid w:val="0"/>
          <w:lang w:val="en-US" w:eastAsia="zh-CN"/>
        </w:rPr>
        <w:t>放射卫生技术服务机构</w:t>
      </w:r>
      <w:r>
        <w:rPr>
          <w:rFonts w:hint="default" w:ascii="仿宋" w:hAnsi="仿宋" w:eastAsia="仿宋" w:cs="仿宋"/>
          <w:snapToGrid w:val="0"/>
          <w:lang w:val="en-US" w:eastAsia="zh-CN"/>
        </w:rPr>
        <w:t>资质</w:t>
      </w:r>
      <w:r>
        <w:rPr>
          <w:rFonts w:hint="eastAsia" w:ascii="仿宋" w:hAnsi="仿宋" w:eastAsia="仿宋" w:cs="仿宋"/>
          <w:snapToGrid w:val="0"/>
          <w:lang w:val="en-US" w:eastAsia="zh-CN"/>
        </w:rPr>
        <w:t>；</w:t>
      </w:r>
    </w:p>
    <w:p>
      <w:pPr>
        <w:numPr>
          <w:ilvl w:val="0"/>
          <w:numId w:val="3"/>
        </w:numPr>
        <w:spacing w:line="400" w:lineRule="exact"/>
        <w:rPr>
          <w:rFonts w:hint="eastAsia" w:ascii="仿宋" w:hAnsi="仿宋" w:eastAsia="仿宋" w:cs="仿宋"/>
          <w:snapToGrid w:val="0"/>
          <w:lang w:val="en-US" w:eastAsia="zh-CN"/>
        </w:rPr>
      </w:pPr>
      <w:r>
        <w:rPr>
          <w:rFonts w:hint="default" w:ascii="仿宋" w:hAnsi="仿宋" w:eastAsia="仿宋" w:cs="仿宋"/>
          <w:snapToGrid w:val="0"/>
          <w:lang w:val="en-US" w:eastAsia="zh-CN"/>
        </w:rPr>
        <w:t>能满足</w:t>
      </w:r>
      <w:r>
        <w:rPr>
          <w:rFonts w:hint="eastAsia" w:ascii="仿宋" w:hAnsi="仿宋" w:eastAsia="仿宋" w:cs="仿宋"/>
          <w:snapToGrid w:val="0"/>
          <w:lang w:val="en-US" w:eastAsia="zh-CN"/>
        </w:rPr>
        <w:t>《安徽省2023年医疗卫生机构医用辐射防护监测工作方案》内容要求；</w:t>
      </w:r>
    </w:p>
    <w:p>
      <w:pPr>
        <w:numPr>
          <w:ilvl w:val="0"/>
          <w:numId w:val="3"/>
        </w:numPr>
        <w:spacing w:line="400" w:lineRule="exact"/>
        <w:rPr>
          <w:rFonts w:hint="eastAsia" w:ascii="仿宋" w:hAnsi="仿宋" w:eastAsia="仿宋" w:cs="仿宋"/>
          <w:snapToGrid w:val="0"/>
          <w:lang w:val="en-US" w:eastAsia="zh-CN"/>
        </w:rPr>
      </w:pPr>
      <w:r>
        <w:rPr>
          <w:rFonts w:hint="eastAsia" w:ascii="仿宋" w:hAnsi="仿宋" w:eastAsia="仿宋" w:cs="仿宋"/>
          <w:snapToGrid w:val="0"/>
          <w:lang w:val="en-US" w:eastAsia="zh-CN"/>
        </w:rPr>
        <w:t>具有</w:t>
      </w:r>
      <w:r>
        <w:rPr>
          <w:rFonts w:hint="default" w:ascii="仿宋" w:hAnsi="仿宋" w:eastAsia="仿宋" w:cs="仿宋"/>
          <w:snapToGrid w:val="0"/>
          <w:lang w:val="en-US" w:eastAsia="zh-CN"/>
        </w:rPr>
        <w:t>放射治疗设备（</w:t>
      </w:r>
      <w:r>
        <w:rPr>
          <w:rFonts w:hint="eastAsia" w:ascii="仿宋" w:hAnsi="仿宋" w:eastAsia="仿宋" w:cs="仿宋"/>
          <w:snapToGrid w:val="0"/>
          <w:lang w:val="en-US" w:eastAsia="zh-CN"/>
        </w:rPr>
        <w:t>医用电子加速器</w:t>
      </w:r>
      <w:bookmarkStart w:id="2" w:name="_GoBack"/>
      <w:bookmarkEnd w:id="2"/>
      <w:r>
        <w:rPr>
          <w:rFonts w:hint="default" w:ascii="仿宋" w:hAnsi="仿宋" w:eastAsia="仿宋" w:cs="仿宋"/>
          <w:snapToGrid w:val="0"/>
          <w:lang w:val="en-US" w:eastAsia="zh-CN"/>
        </w:rPr>
        <w:t>）和放射诊断设备（</w:t>
      </w:r>
      <w:r>
        <w:rPr>
          <w:rFonts w:hint="eastAsia" w:ascii="仿宋" w:hAnsi="仿宋" w:eastAsia="仿宋" w:cs="仿宋"/>
          <w:snapToGrid w:val="0"/>
          <w:lang w:val="en-US" w:eastAsia="zh-CN"/>
        </w:rPr>
        <w:t>屏片X射线摄影机、Ｘ射线透视机、DR设备、CR设备、CT机、乳腺DR、DSA设备、牙科X射线设备)等</w:t>
      </w:r>
      <w:r>
        <w:rPr>
          <w:rFonts w:hint="default" w:ascii="仿宋" w:hAnsi="仿宋" w:eastAsia="仿宋" w:cs="仿宋"/>
          <w:snapToGrid w:val="0"/>
          <w:lang w:val="en-US" w:eastAsia="zh-CN"/>
        </w:rPr>
        <w:t>设备检测和场所检测</w:t>
      </w:r>
      <w:r>
        <w:rPr>
          <w:rFonts w:hint="eastAsia" w:ascii="仿宋" w:hAnsi="仿宋" w:eastAsia="仿宋" w:cs="仿宋"/>
          <w:snapToGrid w:val="0"/>
          <w:lang w:val="en-US" w:eastAsia="zh-CN"/>
        </w:rPr>
        <w:t>能力。</w:t>
      </w:r>
    </w:p>
    <w:p>
      <w:pPr>
        <w:numPr>
          <w:ilvl w:val="0"/>
          <w:numId w:val="3"/>
        </w:numPr>
        <w:spacing w:line="400" w:lineRule="exact"/>
        <w:rPr>
          <w:rFonts w:hint="eastAsia" w:ascii="仿宋" w:hAnsi="仿宋" w:eastAsia="仿宋" w:cs="仿宋"/>
          <w:snapToGrid w:val="0"/>
          <w:lang w:val="en-US" w:eastAsia="zh-CN"/>
        </w:rPr>
      </w:pPr>
      <w:r>
        <w:rPr>
          <w:rFonts w:hint="eastAsia" w:ascii="仿宋" w:hAnsi="仿宋" w:eastAsia="仿宋" w:cs="仿宋"/>
          <w:snapToGrid w:val="0"/>
          <w:lang w:val="en-US" w:eastAsia="zh-CN"/>
        </w:rPr>
        <w:t>在同等价格下优先选用拥有甲级放射卫生技术服务资质的机构。</w:t>
      </w:r>
    </w:p>
    <w:p>
      <w:pPr>
        <w:spacing w:line="400" w:lineRule="exact"/>
        <w:ind w:firstLine="480" w:firstLineChars="200"/>
        <w:rPr>
          <w:rFonts w:hint="eastAsia" w:ascii="仿宋" w:hAnsi="仿宋" w:eastAsia="仿宋" w:cs="仿宋"/>
          <w:snapToGrid w:val="0"/>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09599"/>
    <w:multiLevelType w:val="singleLevel"/>
    <w:tmpl w:val="00509599"/>
    <w:lvl w:ilvl="0" w:tentative="0">
      <w:start w:val="1"/>
      <w:numFmt w:val="chineseCounting"/>
      <w:suff w:val="nothing"/>
      <w:lvlText w:val="（%1）"/>
      <w:lvlJc w:val="left"/>
      <w:rPr>
        <w:rFonts w:hint="eastAsia"/>
      </w:rPr>
    </w:lvl>
  </w:abstractNum>
  <w:abstractNum w:abstractNumId="1">
    <w:nsid w:val="074D3D23"/>
    <w:multiLevelType w:val="singleLevel"/>
    <w:tmpl w:val="074D3D23"/>
    <w:lvl w:ilvl="0" w:tentative="0">
      <w:start w:val="4"/>
      <w:numFmt w:val="chineseCounting"/>
      <w:suff w:val="nothing"/>
      <w:lvlText w:val="%1、"/>
      <w:lvlJc w:val="left"/>
      <w:rPr>
        <w:rFonts w:hint="eastAsia"/>
      </w:rPr>
    </w:lvl>
  </w:abstractNum>
  <w:abstractNum w:abstractNumId="2">
    <w:nsid w:val="39DA2991"/>
    <w:multiLevelType w:val="multilevel"/>
    <w:tmpl w:val="39DA2991"/>
    <w:lvl w:ilvl="0" w:tentative="0">
      <w:start w:val="1"/>
      <w:numFmt w:val="chineseCountingThousand"/>
      <w:suff w:val="nothing"/>
      <w:lvlText w:val="%1、"/>
      <w:lvlJc w:val="left"/>
      <w:pPr>
        <w:ind w:left="13" w:firstLine="555"/>
      </w:pPr>
      <w:rPr>
        <w:rFonts w:hint="eastAsia" w:cs="Times New Roman"/>
        <w:b w:val="0"/>
      </w:rPr>
    </w:lvl>
    <w:lvl w:ilvl="1" w:tentative="0">
      <w:start w:val="1"/>
      <w:numFmt w:val="japaneseCounting"/>
      <w:lvlText w:val="%2、"/>
      <w:lvlJc w:val="left"/>
      <w:pPr>
        <w:ind w:left="1996" w:hanging="720"/>
      </w:pPr>
      <w:rPr>
        <w:rFonts w:hint="default" w:cs="Times New Roman"/>
      </w:rPr>
    </w:lvl>
    <w:lvl w:ilvl="2" w:tentative="0">
      <w:start w:val="1"/>
      <w:numFmt w:val="lowerRoman"/>
      <w:lvlText w:val="%3."/>
      <w:lvlJc w:val="right"/>
      <w:pPr>
        <w:ind w:left="1821" w:hanging="420"/>
      </w:pPr>
      <w:rPr>
        <w:rFonts w:cs="Times New Roman"/>
      </w:rPr>
    </w:lvl>
    <w:lvl w:ilvl="3" w:tentative="0">
      <w:start w:val="1"/>
      <w:numFmt w:val="decimal"/>
      <w:lvlText w:val="%4."/>
      <w:lvlJc w:val="left"/>
      <w:pPr>
        <w:ind w:left="2241" w:hanging="420"/>
      </w:pPr>
      <w:rPr>
        <w:rFonts w:cs="Times New Roman"/>
      </w:rPr>
    </w:lvl>
    <w:lvl w:ilvl="4" w:tentative="0">
      <w:start w:val="1"/>
      <w:numFmt w:val="lowerLetter"/>
      <w:lvlText w:val="%5)"/>
      <w:lvlJc w:val="left"/>
      <w:pPr>
        <w:ind w:left="2661" w:hanging="420"/>
      </w:pPr>
      <w:rPr>
        <w:rFonts w:cs="Times New Roman"/>
      </w:rPr>
    </w:lvl>
    <w:lvl w:ilvl="5" w:tentative="0">
      <w:start w:val="1"/>
      <w:numFmt w:val="lowerRoman"/>
      <w:lvlText w:val="%6."/>
      <w:lvlJc w:val="right"/>
      <w:pPr>
        <w:ind w:left="3081" w:hanging="420"/>
      </w:pPr>
      <w:rPr>
        <w:rFonts w:cs="Times New Roman"/>
      </w:rPr>
    </w:lvl>
    <w:lvl w:ilvl="6" w:tentative="0">
      <w:start w:val="1"/>
      <w:numFmt w:val="decimal"/>
      <w:lvlText w:val="%7."/>
      <w:lvlJc w:val="left"/>
      <w:pPr>
        <w:ind w:left="3501" w:hanging="420"/>
      </w:pPr>
      <w:rPr>
        <w:rFonts w:cs="Times New Roman"/>
      </w:rPr>
    </w:lvl>
    <w:lvl w:ilvl="7" w:tentative="0">
      <w:start w:val="1"/>
      <w:numFmt w:val="lowerLetter"/>
      <w:lvlText w:val="%8)"/>
      <w:lvlJc w:val="left"/>
      <w:pPr>
        <w:ind w:left="3921" w:hanging="420"/>
      </w:pPr>
      <w:rPr>
        <w:rFonts w:cs="Times New Roman"/>
      </w:rPr>
    </w:lvl>
    <w:lvl w:ilvl="8" w:tentative="0">
      <w:start w:val="1"/>
      <w:numFmt w:val="lowerRoman"/>
      <w:lvlText w:val="%9."/>
      <w:lvlJc w:val="right"/>
      <w:pPr>
        <w:ind w:left="4341"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OGUzZDdjZWMzOWEzMGQwNzc2YmMxNWIzOWRiOTkifQ=="/>
  </w:docVars>
  <w:rsids>
    <w:rsidRoot w:val="00000000"/>
    <w:rsid w:val="4DF7010D"/>
    <w:rsid w:val="5760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21"/>
    </w:rPr>
  </w:style>
  <w:style w:type="paragraph" w:styleId="3">
    <w:name w:val="Date"/>
    <w:basedOn w:val="1"/>
    <w:next w:val="1"/>
    <w:qFormat/>
    <w:uiPriority w:val="0"/>
    <w:rPr>
      <w:b/>
      <w:sz w:val="28"/>
    </w:rPr>
  </w:style>
  <w:style w:type="paragraph" w:styleId="4">
    <w:name w:val="Body Text Indent"/>
    <w:basedOn w:val="1"/>
    <w:next w:val="5"/>
    <w:qFormat/>
    <w:uiPriority w:val="0"/>
    <w:pPr>
      <w:ind w:firstLine="555"/>
    </w:pPr>
  </w:style>
  <w:style w:type="paragraph" w:styleId="5">
    <w:name w:val="envelope return"/>
    <w:basedOn w:val="1"/>
    <w:qFormat/>
    <w:uiPriority w:val="0"/>
    <w:pPr>
      <w:snapToGrid w:val="0"/>
    </w:pPr>
    <w:rPr>
      <w:rFonts w:ascii="Arial" w:hAnsi="Arial"/>
    </w:rPr>
  </w:style>
  <w:style w:type="paragraph" w:styleId="6">
    <w:name w:val="Body Text First Indent"/>
    <w:basedOn w:val="2"/>
    <w:qFormat/>
    <w:uiPriority w:val="0"/>
    <w:pPr>
      <w:spacing w:line="360" w:lineRule="auto"/>
      <w:ind w:firstLine="241" w:firstLineChars="100"/>
      <w:jc w:val="center"/>
    </w:pPr>
    <w:rPr>
      <w:b/>
      <w:bCs/>
      <w:color w:val="000000"/>
      <w:kern w:val="0"/>
    </w:rPr>
  </w:style>
  <w:style w:type="table" w:styleId="8">
    <w:name w:val="Table Grid"/>
    <w:basedOn w:val="7"/>
    <w:qFormat/>
    <w:uiPriority w:val="0"/>
    <w:rPr>
      <w:lang w:val="en-US" w:eastAsia="zh-CN"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List Paragraph"/>
    <w:basedOn w:val="1"/>
    <w:qFormat/>
    <w:uiPriority w:val="0"/>
    <w:pPr>
      <w:widowControl/>
      <w:ind w:left="720" w:firstLine="360"/>
      <w:jc w:val="left"/>
    </w:pPr>
    <w:rPr>
      <w:rFonts w:ascii="Calibri" w:hAnsi="Calibri"/>
      <w:sz w:val="22"/>
      <w:szCs w:val="20"/>
      <w:lang w:eastAsia="en-US"/>
    </w:rPr>
  </w:style>
  <w:style w:type="character" w:customStyle="1" w:styleId="11">
    <w:name w:val="font31"/>
    <w:basedOn w:val="9"/>
    <w:qFormat/>
    <w:uiPriority w:val="0"/>
    <w:rPr>
      <w:rFonts w:ascii="Calibri" w:hAnsi="Calibri" w:cs="Calibri"/>
      <w:color w:val="000000"/>
      <w:sz w:val="21"/>
      <w:szCs w:val="21"/>
      <w:u w:val="none"/>
    </w:rPr>
  </w:style>
  <w:style w:type="paragraph" w:customStyle="1" w:styleId="12">
    <w:name w:val="模板普通正文"/>
    <w:basedOn w:val="4"/>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2023-07-19T00:25:00Z</dcterms:created>
  <dc:creator>Administrator</dc:creator>
  <cp:lastModifiedBy>周敏</cp:lastModifiedBy>
  <dcterms:modified xsi:type="dcterms:W3CDTF">2023-07-19T01:36:02Z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BBE1C5473B7543D4AF324810B4D2A15C_12</vt:lpwstr>
  </property>
</Properties>
</file>