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auto"/>
          <w:sz w:val="32"/>
          <w:szCs w:val="32"/>
        </w:rPr>
      </w:pPr>
      <w:bookmarkStart w:id="1" w:name="_GoBack"/>
      <w:bookmarkEnd w:id="1"/>
      <w:r>
        <w:rPr>
          <w:rFonts w:hint="eastAsia" w:ascii="宋体" w:hAnsi="宋体" w:eastAsia="宋体" w:cs="宋体"/>
          <w:b/>
          <w:bCs/>
          <w:color w:val="auto"/>
          <w:kern w:val="0"/>
          <w:sz w:val="32"/>
          <w:szCs w:val="32"/>
          <w:lang w:val="en-US" w:eastAsia="zh-CN" w:bidi="ar"/>
        </w:rPr>
        <w:t>采购需求</w:t>
      </w:r>
    </w:p>
    <w:p>
      <w:pPr>
        <w:pStyle w:val="5"/>
        <w:ind w:firstLine="300" w:firstLineChars="100"/>
        <w:rPr>
          <w:rFonts w:hint="eastAsia" w:ascii="黑体" w:hAnsi="黑体" w:eastAsia="黑体" w:cs="黑体"/>
          <w:color w:val="auto"/>
          <w:kern w:val="0"/>
          <w:sz w:val="30"/>
          <w:szCs w:val="30"/>
          <w:lang w:val="zh-CN" w:eastAsia="zh-CN" w:bidi="ar"/>
        </w:rPr>
      </w:pPr>
      <w:r>
        <w:rPr>
          <w:rFonts w:hint="eastAsia" w:ascii="黑体" w:hAnsi="黑体" w:eastAsia="黑体" w:cs="黑体"/>
          <w:color w:val="auto"/>
          <w:kern w:val="0"/>
          <w:sz w:val="30"/>
          <w:szCs w:val="30"/>
          <w:lang w:val="zh-CN" w:eastAsia="zh-CN" w:bidi="ar"/>
        </w:rPr>
        <w:t>一、采购内容及参数</w:t>
      </w:r>
    </w:p>
    <w:p>
      <w:pPr>
        <w:rPr>
          <w:rFonts w:hint="eastAsia" w:ascii="黑体" w:hAnsi="黑体" w:eastAsia="黑体" w:cs="黑体"/>
          <w:color w:val="auto"/>
          <w:kern w:val="0"/>
          <w:sz w:val="30"/>
          <w:szCs w:val="30"/>
          <w:lang w:val="zh-CN" w:eastAsia="zh-CN" w:bidi="ar"/>
        </w:rPr>
      </w:pPr>
      <w:r>
        <w:rPr>
          <w:rFonts w:hint="eastAsia" w:ascii="黑体" w:hAnsi="黑体" w:eastAsia="黑体" w:cs="黑体"/>
          <w:color w:val="auto"/>
          <w:kern w:val="0"/>
          <w:sz w:val="30"/>
          <w:szCs w:val="30"/>
          <w:lang w:val="zh-CN" w:eastAsia="zh-CN" w:bidi="ar"/>
        </w:rPr>
        <w:t>（一）试剂</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1827"/>
        <w:gridCol w:w="2298"/>
        <w:gridCol w:w="675"/>
        <w:gridCol w:w="685"/>
        <w:gridCol w:w="2746"/>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名      称</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规     格</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参数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三氯乙酸、二氯乙酸标准溶液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1000mg/L，溶剂水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提供国家标准物质证书。需提供市场上能找到最长效期标准物质对应的品牌，且在投标时标注效期时长</w:t>
            </w:r>
          </w:p>
          <w:p>
            <w:pPr>
              <w:pStyle w:val="2"/>
              <w:rPr>
                <w:rFonts w:hint="default" w:eastAsia="宋体"/>
                <w:color w:val="auto"/>
                <w:lang w:val="en-US" w:eastAsia="zh-CN"/>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二氯乙酸质控样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89.1μg/mL，溶剂水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pStyle w:val="2"/>
              <w:rPr>
                <w:rFonts w:hint="eastAsia"/>
                <w:color w:val="auto"/>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三氯乙酸质控样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91.9μg/mL，溶剂水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pStyle w:val="2"/>
              <w:rPr>
                <w:rFonts w:hint="eastAsia"/>
                <w:color w:val="auto"/>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硝酸盐氮标准溶液</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硝酸盐氮标样/以(N)计</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7.17mg/L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pStyle w:val="2"/>
              <w:rPr>
                <w:rFonts w:hint="eastAsia"/>
                <w:color w:val="auto"/>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硝酸盐氮标样/以(N)计</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pStyle w:val="2"/>
              <w:rPr>
                <w:rFonts w:hint="eastAsia"/>
                <w:color w:val="auto"/>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氯化物标准溶液</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氯化物质控品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50.1μg/mL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pStyle w:val="2"/>
              <w:rPr>
                <w:rFonts w:hint="eastAsia"/>
                <w:color w:val="auto"/>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氟化物标准溶液</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氟化物质控品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4.18μg/mL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硫酸盐质控品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44.8μg/mL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硫酸盐标准溶液</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氯酸盐质控品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1.34μg/mL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氯酸盐标准溶液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亚氯酸盐质控品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1.01mg/l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亚氯酸盐标准溶液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高氯酸盐标准溶液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高氯酸盐质控品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3.99μg/mL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"http://www.bjhongmeng.com/product/PNOGBW(E)100200.html" \o "http://www.bjhongmeng.com/product/PNOGBW(E)100200.html" </w:instrText>
            </w:r>
            <w:r>
              <w:rPr>
                <w:rFonts w:hint="eastAsia" w:ascii="仿宋" w:hAnsi="仿宋" w:eastAsia="仿宋" w:cs="仿宋"/>
                <w:i w:val="0"/>
                <w:iCs w:val="0"/>
                <w:color w:val="auto"/>
                <w:kern w:val="0"/>
                <w:sz w:val="22"/>
                <w:szCs w:val="22"/>
                <w:u w:val="none"/>
                <w:lang w:val="en-US" w:eastAsia="zh-CN" w:bidi="ar"/>
              </w:rPr>
              <w:fldChar w:fldCharType="separate"/>
            </w:r>
            <w:r>
              <w:rPr>
                <w:rStyle w:val="9"/>
                <w:rFonts w:hint="eastAsia" w:ascii="仿宋" w:hAnsi="仿宋" w:eastAsia="仿宋" w:cs="仿宋"/>
                <w:i w:val="0"/>
                <w:iCs w:val="0"/>
                <w:color w:val="auto"/>
                <w:sz w:val="22"/>
                <w:szCs w:val="22"/>
                <w:u w:val="none"/>
              </w:rPr>
              <w:t>溴酸盐溶液标准物质GBW(E)100200</w:t>
            </w:r>
            <w:r>
              <w:rPr>
                <w:rFonts w:hint="eastAsia" w:ascii="仿宋" w:hAnsi="仿宋" w:eastAsia="仿宋" w:cs="仿宋"/>
                <w:i w:val="0"/>
                <w:iCs w:val="0"/>
                <w:color w:val="auto"/>
                <w:kern w:val="0"/>
                <w:sz w:val="22"/>
                <w:szCs w:val="22"/>
                <w:u w:val="none"/>
                <w:lang w:val="en-US" w:eastAsia="zh-CN" w:bidi="ar"/>
              </w:rPr>
              <w:fldChar w:fldCharType="end"/>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"http://www.bjhongmeng.com/product/PNOGBW(E)100200.html" \o "http://www.bjhongmeng.com/product/PNOGBW(E)100200.html" </w:instrText>
            </w:r>
            <w:r>
              <w:rPr>
                <w:rFonts w:hint="eastAsia" w:ascii="仿宋" w:hAnsi="仿宋" w:eastAsia="仿宋" w:cs="仿宋"/>
                <w:i w:val="0"/>
                <w:iCs w:val="0"/>
                <w:color w:val="auto"/>
                <w:kern w:val="0"/>
                <w:sz w:val="22"/>
                <w:szCs w:val="22"/>
                <w:u w:val="none"/>
                <w:lang w:val="en-US" w:eastAsia="zh-CN" w:bidi="ar"/>
              </w:rPr>
              <w:fldChar w:fldCharType="separate"/>
            </w:r>
            <w:r>
              <w:rPr>
                <w:rStyle w:val="9"/>
                <w:rFonts w:hint="eastAsia" w:ascii="仿宋" w:hAnsi="仿宋" w:eastAsia="仿宋" w:cs="仿宋"/>
                <w:i w:val="0"/>
                <w:iCs w:val="0"/>
                <w:color w:val="auto"/>
                <w:sz w:val="22"/>
                <w:szCs w:val="22"/>
                <w:u w:val="none"/>
              </w:rPr>
              <w:t>溴酸盐质控</w:t>
            </w:r>
            <w:r>
              <w:rPr>
                <w:rFonts w:hint="eastAsia" w:ascii="仿宋" w:hAnsi="仿宋" w:eastAsia="仿宋" w:cs="仿宋"/>
                <w:i w:val="0"/>
                <w:iCs w:val="0"/>
                <w:color w:val="auto"/>
                <w:kern w:val="0"/>
                <w:sz w:val="22"/>
                <w:szCs w:val="22"/>
                <w:u w:val="none"/>
                <w:lang w:val="en-US" w:eastAsia="zh-CN" w:bidi="ar"/>
              </w:rPr>
              <w:fldChar w:fldCharType="end"/>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11.63μg/mL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水中草甘膦溶液标准样品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100ug/mL 1mL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水中草甘膦质控品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70.4μg/mL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铵盐标准溶液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1000mg/l，100ml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铵盐质控品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甲醇中丙烯酰胺溶液标准物质  SB05-241-2008</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1000ug/mL于甲醇 1ml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水中丙烯酰胺质控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甲醇中13C丙烯酰胺溶液标准物质 1ST001221C3 Firststandard  </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甲醇中呋喃丹(克百威)溶液标准物质GBW(E)081312 </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1000ug/mL 1mL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水中呋喃丹(克百威)质控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甲醇中克百威，1.2ml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乙醇中灭草松（苯达松）溶液标准样品 SB05-107-2008</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100ug/mL 1mL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 ,1.2mL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水中灭草松质控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color w:val="auto"/>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乙醇中灭草松，1.2ml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甲醇中莠去津/阿特拉津标准品  GSB07-3379-2017 </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1000ug/mL 1.2mL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水中莠去津质控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甲醇中莠去津，1.2ml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甲醇中微囊藻毒素LR溶液标准物质GBW(E)081099</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2mL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水中微囊藻毒素LR质控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甲醇中微囊藻毒素LR，1.2ml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甲醇中苯并(a)芘GBW08702 </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10μg/mL 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水中苯并(a)芘质控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甲醇中苯并[a]芘，2ml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2，4-D</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水中2，4-D质控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甲醇中2，4-滴质控样，1.5ml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氨氮标准溶液</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氨氮质控溶液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1/5高锰酸钾滴定液GBW(E)081604 </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500ml/瓶，0.1mol/L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1/2草酸钠标准溶液 GBW(E)081605</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500ml/瓶，0.1mol/L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高锰酸盐指数质控样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浓度在1-3mg/L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硫代硫酸钠容量分析用溶液标准物质</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500mL/瓶；0.1mol/L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总硬度质控品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缓冲溶液总硬度检测专用BWZ8254-2016</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500ml/瓶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乙二胺四乙酸二钠（EDTA）</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0.100mol/L,500ml/瓶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水中PH标准</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PH2.0-4.01-7.0-9.21-11，250ml/瓶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水中浑浊度质控品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100NTU,100ml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水中色度标准溶液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500度，20ml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500度，20ml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阴离子合成洗涤剂</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阴离子合成洗涤剂质控品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挥发性酚标准溶液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挥发性酚质控样品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氰化物标准溶液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50ug/ml,40ml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水中氰化物质控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40.6ug/ml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六价铬质控样品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20ml/支，浓度在0.2-8ug/ml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三氯甲烷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四氯化碳</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甲氰菊酯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水中5种卤代烃质控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甲醇中5种挥发性卤代烃,2ml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甲醇中一溴二氯甲烷溶液，1000μg/mL</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产品号：1ST000953-1000M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甲醇中二溴一氯甲烷溶液，1000μg/mL</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产品号：1ST000167-1000M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甲醇中溴仿溶液，1000μg/mL</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产品号：1ST000954-1000M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氟苯 (C6H5F)</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 mg/L，溶剂为甲醇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产品号：1ST000514-1000M，有效期需要五年或此标准的最长效期，提供国家标准物质证书</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4-溴氟苯 （C6H4BrF，简称 BFB）</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 mg/L，溶剂为甲醇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产品号：1ST000511-1000M，有效期需要五年或此标准的最长效期，提供国家标准物质证书</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1,2-二氯苯-D4 (C6Cl2D4)</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 mg/L，溶剂为甲醇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产品号：1ST000343-1000M，有效期需要五年或此标准的最长效期，提供国家标准物质证书</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二氯甲烷中环氧氯丙烷溶液标准物质</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1000ug/ml，1ml，溶剂二氯甲烷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11种半挥发性有机物混标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包含六氯苯、七氯、马拉硫磷、乐果、百菌清、毒死蜱、敌敌畏、溴氰菊酯、五氯酚、2，4，6=三氯酚、邻苯二甲酸二酯，其中乐果、五氯酚、溴氰菊酯为200ug/ml，其余为100ug/ml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金属混标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K、Na、Mg、Ca、Fe：1000µg/ml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金属混标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Li、B、Al、Mn、Cu、Zn、Sr、Ba、Sn、Rb:1000µg/ml， V、Cr、Co、Ni、As、Se、Mo、Cd、Sb、Pb:200µg/ml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金属混标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Al：1000µg/ml，Cr、Ni、As、Se:200µg/ml,  Mn、Pb、Cd、Sb、Be、Tl：100µg/ml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金属混标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B、Al、Mn、Cu、Zn、Fe、Ba：1000µg/ml，             Cr、Ni、As、Se、Mo、Cd、Sb、Be、Ag、Tl、Pb：200µg/ml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钠标准溶液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汞标准溶液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水中汞质控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镉标准溶液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铁标准溶液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水中铁质控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铜标准溶液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水中铜质控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铅标准溶液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水中铅质控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水中铝质控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锌标准溶液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水中锌质控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锰标准溶液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89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水中锰质控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ICP-MS内标混合溶液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Sc、Rh、In、Bi：10 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提供国家标准物质证书，必须为当年最新定值的标准，且效期为五年，</w:t>
            </w:r>
            <w:r>
              <w:rPr>
                <w:rFonts w:hint="eastAsia"/>
                <w:color w:val="auto"/>
                <w:lang w:val="en-US" w:eastAsia="zh-CN"/>
              </w:rPr>
              <w:t>供货产品的剩余效期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10μg/mL,100ml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硫酸盐质控溶液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65.8mg/L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丙酮中氧化乐果</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丙酮中甲拌磷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丙酮中甲拌磷砜</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丙酮中甲拌磷亚砜</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丙酮中毒死蜱</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丙酮中水胺硫磷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丙酮中三唑磷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99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丙酮中灭线磷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丙酮中乙酰甲胺磷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丙酮中甲胺磷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丙酮中乐果</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氯氟氰菊酯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Times New Roman" w:hAnsi="Times New Roman" w:eastAsia="宋体" w:cs="Times New Roman"/>
                <w:color w:val="auto"/>
                <w:lang w:val="en-US" w:eastAsia="zh-CN"/>
              </w:rPr>
              <w:t>提供国家标准物质证书。需提供市场上能找到最长效期标准物质对应的品牌，供货产品的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α-硫丹</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苯中α-硫丹，提供国家标准物质证书。需提供市场上能找到最长效期标准物质对应的品牌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β-硫丹</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正己烷中β-硫丹,提供国家标准物质证书。需提供市场上能找到最长效期标准物质对应的品牌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硫丹硫酸酯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正己烷中硫丹硫酸盐,提供国家标准物质证书。需提供市场上能找到最长效期标准物质对应的品牌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五氯硝基苯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苯中五氯硝基苯，提供国家标准物质证书。需提供市场上能找到最长效期标准物质对应的品牌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丙酮中百菌清，提供国家标准物质证书。需提供市场上能找到最长效期标准物质对应的品牌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109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1，2-二氯乙烷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二氯甲烷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1，1-二氯乙烯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1，2-二氯乙烯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四氯乙烯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六氯丁乙烯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甲醇中六氯丁二烯，100ug/mL,2ml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119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对二甲苯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间二甲苯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邻二甲苯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苯乙烯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1，4-二氯苯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三氯苯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乙草胺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六氯苯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七氯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129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马拉硫磷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敌敌畏</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溴氰菊酯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100ug/mL,1ml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五氯酚</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2，4，6-三氯酚</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邻苯二甲酸二酯</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正己烷中邻苯二甲酸二(2-乙基)己酯，1000ug/ml,2ml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135</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环氧氯丙烷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136</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土臭素</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2-甲基异莰醇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甲醇中盐酸莱克多巴胺溶液，1000μg/mL,1ml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139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克伦特罗</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甲醇/水中盐酸克伦特罗溶液，1000µg/mL,1ml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沙丁胺醇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甲醇中半硫酸沙丁胺醇溶液，1000µg/mL,1ml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特布他林</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乙腈中硫酸特布他林溶液，1000μg/mL，1ml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D6-莱克多巴胺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甲醇中盐酸莱克多巴胺-D6溶液，1000μg/mL，1ml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D9-克伦特罗</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甲醇中盐酸克伦特罗-D9溶液，1000μg/mL，1ml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D3-沙丁胺醇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甲醇中沙丁胺醇-D3溶液，1000μg/mL,1ml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D9-特布他林</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甲醇中特布他林-D9溶液，100μg/mL，1ml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提供国家标准物质证书。需提供市场上能找到最长效期标准物质对应的品牌</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氯霉素</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甲醇中氯霉素溶液，100μg/mL,1ml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1ST7001-100M，提供国家标准物质证书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氟甲砜霉素</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水/乙腈中氟苯尼考溶液，100μg/mL,1ml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1ST7005-100WA，提供国家标准物质证书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甲砜霉素</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甲醇中甲砜霉素溶液，100μg/mL,1ml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1ST7002-100M，提供国家标准物质证书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149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甲硝唑</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甲醇中甲硝唑溶液，100μg/mL,1ml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1ST5554-100M，提供国家标准物质证书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D5-氯霉素</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甲醇中氯霉素-D5溶液，100μg/mL,1ml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1ST7038-100M，提供国家标准物质证书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D4-甲硝唑</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甲醇中甲硝唑-D4溶液，100μg/mL,1ml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1ST5554D4-100M，提供国家标准物质证书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蔬菜中有机磷农药质控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20g/瓶，包含种类大于5种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提供国家标准物质证书，若克数不足20g，请按采购克数叠加</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蔬菜粉中8种有机磷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鸡蛋中喹诺酮类兽残质控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10g/瓶，需包含恩诺沙星、环丙沙星、诺氟沙星、氧氟沙星、培氟沙星、洛美沙星，带证书（如没有鸡蛋中质控品，就买鸡肉中质控品）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广州谱恩、北京微标或其它品牌</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★投标文件中须提供生产厂家出具的产品质量承诺书扫描件</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鸡蛋中氯霉素质控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10g/瓶，如没有鸡蛋中质控品，就买鸡肉中质控品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广州谱恩、北京微标或其它品牌</w:t>
            </w:r>
          </w:p>
          <w:p>
            <w:pPr>
              <w:pStyle w:val="2"/>
              <w:rPr>
                <w:rFonts w:hint="eastAsia"/>
                <w:color w:val="auto"/>
              </w:rPr>
            </w:pPr>
            <w:r>
              <w:rPr>
                <w:rFonts w:hint="eastAsia"/>
                <w:color w:val="auto"/>
              </w:rPr>
              <w:t>★投标文件中须提供生产厂家出具的产品质量承诺书扫描件</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鸡蛋粉中氯霉素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鸡蛋中甲硝唑质控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10g/瓶，如没有鸡蛋中质控品，就买鸡肉中质控品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广州谱恩、北京微标或其它品牌</w:t>
            </w:r>
          </w:p>
          <w:p>
            <w:pPr>
              <w:pStyle w:val="2"/>
              <w:rPr>
                <w:rFonts w:hint="eastAsia"/>
                <w:color w:val="auto"/>
              </w:rPr>
            </w:pPr>
            <w:r>
              <w:rPr>
                <w:rFonts w:hint="eastAsia"/>
                <w:color w:val="auto"/>
              </w:rPr>
              <w:t>★投标文件中须提供生产厂家出具的产品质量承诺书扫描件</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鸡蛋粉中甲硝唑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肉制品中瘦肉精类内质控样品（肉泥）</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20g/瓶，包含克伦特罗、莱克多巴胺、特布他林、沙丁胺醇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广州谱恩、北京微标或其它品牌</w:t>
            </w:r>
          </w:p>
          <w:p>
            <w:pPr>
              <w:pStyle w:val="2"/>
              <w:rPr>
                <w:rFonts w:hint="eastAsia"/>
                <w:color w:val="auto"/>
              </w:rPr>
            </w:pPr>
            <w:r>
              <w:rPr>
                <w:rFonts w:hint="eastAsia"/>
                <w:color w:val="auto"/>
              </w:rPr>
              <w:t>★投标文件中须提供生产厂家出具的产品质量承诺书扫描件</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猪肉粉中中克伦特罗、莱克多巴胺、特布他林、沙丁胺醇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坚果中中多元素分析标准物质</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35g/瓶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中国地质科学院/国家粮食局</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甲醇中的恩诺沙星标准溶液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提供国家标准物质证书。有1000μg/mL,介质为甲醇的这六种项目的混标优先，且混标也为一支</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159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甲醇中的诺氟沙星标准溶液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甲醇中的培氟沙星标准溶液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甲醇中的环丙沙星标准溶液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甲醇中的氧氟沙星标准溶液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甲醇中的洛美沙星标准溶液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1000μg/mL,1ml，介质为甲醇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1000μg/mL，1.2ml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烟碱类（12种）标准溶液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100µg/ml，1.0mL/支,介质甲醇或者乙腈</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Accustandard\DR\阿尔塔，包含吡虫啉、啶虫脒、噻虫啉、噻虫嗪、噻虫胺、呋虫胺、烯啶虫胺、氯噻啉、哌虫啶、环氧虫啶、氟啶虫胺腈、氟吡呋喃酮</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彩椒中烟碱类项目质控样品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10g/袋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包含吡虫啉、啶虫脒、噻虫啉、噻虫嗪、噻虫胺、呋虫胺、烯啶虫胺、氯噻啉、哌虫啶、环氧虫啶、氟啶虫胺腈、氟吡呋喃酮中任意一种或多种均可，参考品牌：上海安谱、TRC</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食品添加剂标准溶液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1000mg/L，可以是糖精钠、山梨酸等，根据本实验室要求提供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葡萄酒中食品添加剂质控品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具体质控品名称根据本实验室要求提供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食品中菊酯类质控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25g，，果汁中，质控品项目类型根据采购方实际需要提供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蔬菜粉中氯氟氰菊酯、氯氰菊酯和高效氯氟氰菊酯质控样品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169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食品中多种有机磷类质控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25g，蔬菜粉或者水果粉，质控品项目类型根据采购方实际需要提供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鱼肉中甲基对硫磷、马拉硫磷、对硫磷、敌敌畏、乐果分析质控样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食品中多种有机氯类质控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25g，蔬菜粉或者水果粉，质控品项目类型根据采购方实际需要提供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鱼肉粉中8种有机氯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活性炭管中气相色谱法质控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高、低浓度各一支，质控品项目类型根据采购方实际需要提供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粉尘中游离二氧化硅质量控制样品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ZK040-1/ZK040-2/ZK040-3（3个/套）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职业卫生化学法项目质控品套装</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质控品项目类型根据采购方实际需要提供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滤膜中金属质控样品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（2张/套，高低浓度）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碱性碘化汞钾（纳氏试剂）标准溶液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100ml 灵敏度实验（0.1ppmNH4-N）：10s显色；吸光度（30ml/L，420nm）：0.02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铵质控</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1.53mg/L,20ml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PM2.5空气滤膜中质量控制样品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离子色谱法检测项目阴离子项目的标准物质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BWZ7378-2016，有效期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PM2.5滤膜中铵质量控制样品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离子色谱法检测项目铵离子项目的标准物质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BWZ7377-2016，有效期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179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金属质控膜（用于PM2.5金属类金属检测）</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滤膜中三种或以上重金属</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16种多环芳烃中单个标准</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100µg/mL，2ml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北京微标，提供国家标准物质证书，有效期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多环芳烃质控膜（16种多环芳烃质控膜）</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qc647-1ea，有效期</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（要求≥12个月）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16种多环芳烃标准溶液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200ug/ml,1ml/支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含有苊、萘、 苊烯 、 蒽、苯并（a）蒽、苯并（a）芘、苯并(b)荧蒽 、苯并[g,h,i]苝、苯并(k)荧蒽、屈、二苯并（a，h）蒽、荧蒽、 茚并(1,2,3-cd)芘、芴、菲、芘。高效液相适用，国家标物中心或有量值溯源证书，介质是乙腈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183</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十氟联苯标准溶液</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国家标物中心或有量值溯源证书，介质是乙腈有效期需要五年或此标准的最长效期，提供国家标准物质证书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184</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甲醛</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185</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甲醛质控品</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浓度按实验室要求提供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186</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尿素（以尿素计）</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187</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尿素质控品（以尿素计）</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15-30ug/ml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188</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七种苯系物混标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1.0mg/ml，介质是甲醇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189</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七种苯系物混标</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1000ug/ml，（溶剂二硫化碳）</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1000ug/ml,2ml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190</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氨标准溶液（以氨计）</w:t>
            </w:r>
          </w:p>
        </w:tc>
        <w:tc>
          <w:tcPr>
            <w:tcW w:w="22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1.0mg/ml，50ml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191</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氨质控溶液（以氨计）</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中等浓度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192</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酸性橙Ⅱ标准</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 mg/mL，1.2ml</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有效期需要五年或此标准的最长效期，提供国家标准物质证书有效期需要五年或此标准的最长效期，提供国家标准物质证书</w:t>
            </w:r>
            <w:r>
              <w:rPr>
                <w:rFonts w:hint="eastAsia" w:ascii="Times New Roman" w:hAnsi="Times New Roman" w:eastAsia="宋体" w:cs="Times New Roman"/>
                <w:color w:val="auto"/>
                <w:lang w:val="en-US" w:eastAsia="zh-CN"/>
              </w:rPr>
              <w:t>，供货产品的</w:t>
            </w:r>
            <w:r>
              <w:rPr>
                <w:rFonts w:hint="eastAsia"/>
                <w:color w:val="auto"/>
                <w:lang w:val="en-US" w:eastAsia="zh-CN"/>
              </w:rPr>
              <w:t>剩余效期</w:t>
            </w:r>
            <w:r>
              <w:rPr>
                <w:rFonts w:hint="default" w:ascii="Arial" w:hAnsi="Arial" w:cs="Arial"/>
                <w:color w:val="auto"/>
                <w:lang w:val="en-US" w:eastAsia="zh-CN"/>
              </w:rPr>
              <w:t>≥</w:t>
            </w:r>
            <w:r>
              <w:rPr>
                <w:rFonts w:hint="eastAsia"/>
                <w:color w:val="auto"/>
                <w:lang w:val="en-US" w:eastAsia="zh-CN"/>
              </w:rPr>
              <w:t>2/3总效期</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r>
    </w:tbl>
    <w:p>
      <w:pPr>
        <w:pStyle w:val="2"/>
        <w:rPr>
          <w:rFonts w:hint="eastAsia"/>
          <w:color w:val="auto"/>
          <w:lang w:val="zh-CN" w:eastAsia="zh-CN"/>
        </w:rPr>
      </w:pPr>
    </w:p>
    <w:p>
      <w:pPr>
        <w:rPr>
          <w:rFonts w:hint="eastAsia"/>
          <w:color w:val="auto"/>
          <w:lang w:eastAsia="zh-CN"/>
        </w:rPr>
      </w:pPr>
    </w:p>
    <w:p>
      <w:pPr>
        <w:pStyle w:val="5"/>
        <w:numPr>
          <w:ilvl w:val="0"/>
          <w:numId w:val="1"/>
        </w:numPr>
        <w:ind w:firstLine="300" w:firstLineChars="100"/>
        <w:rPr>
          <w:rFonts w:hint="eastAsia" w:ascii="黑体" w:hAnsi="黑体" w:eastAsia="黑体" w:cs="黑体"/>
          <w:color w:val="auto"/>
          <w:kern w:val="0"/>
          <w:sz w:val="30"/>
          <w:szCs w:val="30"/>
          <w:lang w:val="zh-CN" w:eastAsia="zh-CN" w:bidi="ar"/>
        </w:rPr>
      </w:pPr>
      <w:r>
        <w:rPr>
          <w:rFonts w:hint="eastAsia" w:ascii="黑体" w:hAnsi="黑体" w:eastAsia="黑体" w:cs="黑体"/>
          <w:color w:val="auto"/>
          <w:kern w:val="0"/>
          <w:sz w:val="30"/>
          <w:szCs w:val="30"/>
          <w:lang w:val="zh-CN" w:eastAsia="zh-CN" w:bidi="ar"/>
        </w:rPr>
        <w:t>标准耗材</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6"/>
        <w:gridCol w:w="1836"/>
        <w:gridCol w:w="1897"/>
        <w:gridCol w:w="720"/>
        <w:gridCol w:w="480"/>
        <w:gridCol w:w="1840"/>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名      称</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规     格</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参数</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MCS 固相萃取柱（SILICA+阳离子交换树脂）</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500mg/6mL，50支/盒</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杭州福裕 500mg/6mL，50支/盒</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厂家有转接头请配送足量的转接头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watersMCX固相萃取柱</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60mg/3ml,100/盒</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waters货号186000254</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厂家有转接头请配送足量的转接头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N-乙烯吡咯烷酮和二乙烯基苯聚合物固相萃取柱（HLB）</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200mg/6mL,</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Oasis HLB 固相萃取柱200mg/6mL，30支/盒，</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厂家有转接头请配送足量的转接头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顶空瓶瓶盖银色开孔铝盖</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中心孔10mm， 100个/盒</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适配本中心型号为DANI顶空进样器HSS 86.50的顶空瓶瓶盖</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顶空瓶瓶盖蓝色硅胶垫</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20*3mm温度-60-200摄氏度，100/包</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适配本中心型号为DANI顶空进样器HSS 86.50的顶空瓶瓶盖</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C18固相萃取柱</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6ml，1g填料</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50/包</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如安捷伦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4"/>
                <w:szCs w:val="24"/>
                <w:u w:val="none"/>
                <w:lang w:val="en-US" w:eastAsia="zh-CN" w:bidi="ar"/>
              </w:rPr>
              <w:t>HLB 固相萃取小柱</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4"/>
                <w:szCs w:val="24"/>
                <w:u w:val="none"/>
                <w:lang w:val="en-US" w:eastAsia="zh-CN" w:bidi="ar"/>
              </w:rPr>
              <w:t>60 mg，3 mL，100支/盒</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沃特世</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安瓿瓶砂轮片</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直径21mm 厚度3.2mm 1.5mm</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吹扫捕集样品瓶套件</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 mL，经预清洗的样品瓶、瓶盖和隔垫</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产品号： 5183-4741</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如安捷伦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实验室一级用水</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500ml/瓶，24瓶/箱，每批次水提供一份经第三方检测公司检测，盖CMA或者CNAS章的实验室一级水检测证书。</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箱</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证书中监测项目应包含《分析实验室用水规格和试验方法》(GB/T6682-2008)表所列规格一级水和二级水的所有项目。一二级水各20箱分2次供货，每次各供货10箱，每次供货均需要提供当批次盖CMA或者CNAS章的实验室一级和二级水检测证书，且送检单位为采购方，两次不能为同一份检测报告，★投标文件中须提供带CMA认证的一级水、二级水检测报告扫描件。</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如屈臣氏蒸馏水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实验室二级用水</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500ml/瓶，24瓶/箱，每批次水提供一份经第三方检测公司检测，盖CMA或者CNAS章的实验室二级水检测证书。</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箱</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如娃哈哈纯净水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预切割螺口样品瓶</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 x 32 mm，2ml，预切割PTFE/硅胶</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waters部件号186000307C</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螺口样品瓶</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2ml，棕色，100个/包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安捷伦部件号5190-9590</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螺口样品瓶盖</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12mm，100个/包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安捷伦部件号5190-7021</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苯乙烯二苯乙烯聚合物柱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填料 250 mg，容量 6 mL，50根/包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参考：Cleanert PS (250mg/6mL)，货号：PS2506</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检测水中苯并a芘用。根据实际包装含量，保证总根数50根。可推荐其他等效萃取柱。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反相C18固相萃取柱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填充量为60 mg，容量为3 mL，50根/包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检测水中灭草松、呋喃丹、莠去津等用。根据实际包装含量，保证总根数50根。可推荐其他等效萃取柱。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活性炭固相萃取柱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填料500 mg，容量6 mL，50根/包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检测水中丙烯酰胺用。根据实际包装含量，保证总根数50根。可推荐其他等效萃取柱。以含丙烯酰胺5ug/L的水样100mL过活化好的固相萃取柱，回收率≥90%方可使用。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有机微孔滤膜过滤头</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 mm，0.22 um，100只/盒</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亲水性滤膜</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 mm，0.22 um，100只/盒</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亲水性滤膜</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 mm，0.45 um，100只/盒</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Ba/Ag/H离子复合SPE小柱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2.5ml，50/包</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纳鸥，货号AN60F58</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QuECHERS试剂盒(PSA 25mg、无水硫酸镁150mg、含陶瓷均质子)</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盒（每盒50份）</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QuECHERS试剂盒</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PSA 50mg、无水硫酸镁150mg、含陶瓷均质子</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陶瓷均质子</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1cm（长）*0.5 cm（外径)  100个/袋</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袋</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上海昕沪</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QuEChERS萃取盐包</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4.0g无水硫酸钠，1.0g氯化钠</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上海月旭科技 安捷伦005PM-059-50</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QuEChERS萃取盐包</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EN 方法，4g 硫酸镁，1g 氯化钠，1g 柠檬酸钠，0.5g柠檬酸二钠，</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上海月旭科技 安捷伦00529-20000</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QuEChERS萃取净化管</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15mL</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安捷伦5982-5056</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萃取试剂盒</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QuEChERS 萃取盐，带管和陶瓷均质子，EN 方法 15662，10 g 样品，50 mL 管。盐类：4 g MgSO4、1 g NaCl、1 g 二水合柠檬酸三钠、0.5 g 半水柠檬酸氢二钠，50 个盐包和管</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安捷伦5982-5650CH</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分散试剂盒</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50/包  含 150 mg PSA、45 mg GCB、855 mg MgSO4</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安捷伦部件号:5982-5356</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PBS缓冲系统（干粉）</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袋</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博士德生物</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大容量通用捕集阱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750cc</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安捷伦部件号RMSN-2</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大容量通用捕集阱</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750cc</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安捷伦部件号RMSH-2</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载气净化器</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安捷伦部件号CP17973</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9541V KN95口罩</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20个/盒</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3M</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7502硅胶半面型防护面罩</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10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6001CN有机气体滤毒盒</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2个/包</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温湿度计</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Whatman/沃特曼 QMA石英纤维滤膜</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直径：90mm，100张/盒</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产品编号：1851-090</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砷铈催化分光光度法尿碘试剂盒（化学法）（0-300μg/L）</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国标法尿碘检测试剂盒 疾控中心专用尿碘检测试剂盒，操作方法：WS/T107-2016</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供货日期为5-6月份，且为当次试剂盒的最新日期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砷铈催化分光光度法尿碘试剂盒（化学法）（300-1200μg/L）</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国标法尿碘检测试剂盒 疾控中心专用尿碘检测试剂盒，操作方法：WS/T107-2016</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供货日期为5-6月份，且为当次试剂盒的最新日期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砷铈催化分光光度法水碘检测试剂盒（0-100μg/L）</w:t>
            </w:r>
          </w:p>
        </w:tc>
        <w:tc>
          <w:tcPr>
            <w:tcW w:w="11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盒</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参考方法国家碘缺乏病参照实验室水碘检测推荐方法</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供货为当次试剂盒的最新日期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1077"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水碘质控样</w:t>
            </w:r>
          </w:p>
        </w:tc>
        <w:tc>
          <w:tcPr>
            <w:tcW w:w="1112"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高中低三种浓度/套</w:t>
            </w:r>
          </w:p>
        </w:tc>
        <w:tc>
          <w:tcPr>
            <w:tcW w:w="422"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81"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定值单位为中国疾病预防控制中心营养与健康所#国家碘缺乏病参照实验室,提供国家标准物质证书</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供货为当次试剂盒的最新日期</w:t>
            </w:r>
          </w:p>
        </w:tc>
      </w:tr>
    </w:tbl>
    <w:p>
      <w:pPr>
        <w:numPr>
          <w:ilvl w:val="0"/>
          <w:numId w:val="0"/>
        </w:numPr>
        <w:rPr>
          <w:rFonts w:hint="eastAsia"/>
          <w:color w:val="auto"/>
          <w:lang w:val="zh-CN" w:eastAsia="zh-CN"/>
        </w:rPr>
      </w:pPr>
    </w:p>
    <w:p>
      <w:pPr>
        <w:pStyle w:val="5"/>
        <w:ind w:firstLine="300" w:firstLineChars="100"/>
        <w:rPr>
          <w:rFonts w:hint="eastAsia" w:ascii="黑体" w:hAnsi="黑体" w:eastAsia="黑体" w:cs="黑体"/>
          <w:color w:val="auto"/>
          <w:kern w:val="0"/>
          <w:sz w:val="30"/>
          <w:szCs w:val="30"/>
          <w:lang w:val="zh-CN" w:eastAsia="zh-CN" w:bidi="ar"/>
        </w:rPr>
      </w:pPr>
      <w:r>
        <w:rPr>
          <w:rFonts w:hint="eastAsia" w:ascii="黑体" w:hAnsi="黑体" w:eastAsia="黑体" w:cs="黑体"/>
          <w:color w:val="auto"/>
          <w:kern w:val="0"/>
          <w:sz w:val="30"/>
          <w:szCs w:val="30"/>
          <w:lang w:val="zh-CN" w:eastAsia="zh-CN" w:bidi="ar"/>
        </w:rPr>
        <w:t>二、采购商务要求</w:t>
      </w:r>
    </w:p>
    <w:p>
      <w:pPr>
        <w:pStyle w:val="5"/>
        <w:numPr>
          <w:ilvl w:val="0"/>
          <w:numId w:val="0"/>
        </w:numPr>
        <w:ind w:left="420" w:leftChars="0"/>
        <w:jc w:val="center"/>
        <w:rPr>
          <w:rFonts w:hint="eastAsia" w:ascii="仿宋" w:hAnsi="仿宋" w:eastAsia="仿宋" w:cs="仿宋"/>
          <w:snapToGrid w:val="0"/>
          <w:color w:val="auto"/>
          <w:kern w:val="2"/>
          <w:sz w:val="27"/>
          <w:szCs w:val="27"/>
          <w:lang w:val="en-US" w:eastAsia="zh-CN" w:bidi="ar-SA"/>
        </w:rPr>
      </w:pPr>
    </w:p>
    <w:p>
      <w:pPr>
        <w:spacing w:line="400" w:lineRule="exact"/>
        <w:ind w:firstLine="562" w:firstLineChars="200"/>
        <w:rPr>
          <w:rFonts w:hint="eastAsia" w:ascii="仿宋" w:hAnsi="仿宋" w:eastAsia="仿宋" w:cs="仿宋"/>
          <w:snapToGrid w:val="0"/>
          <w:color w:val="auto"/>
          <w:kern w:val="2"/>
          <w:sz w:val="28"/>
          <w:szCs w:val="28"/>
          <w:lang w:val="en-US" w:eastAsia="zh-CN" w:bidi="ar-SA"/>
        </w:rPr>
      </w:pPr>
      <w:bookmarkStart w:id="0" w:name="_Toc24273"/>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报价要求：</w:t>
      </w:r>
      <w:r>
        <w:rPr>
          <w:rFonts w:hint="eastAsia" w:ascii="仿宋" w:hAnsi="仿宋" w:eastAsia="仿宋" w:cs="仿宋"/>
          <w:snapToGrid w:val="0"/>
          <w:color w:val="auto"/>
          <w:kern w:val="2"/>
          <w:sz w:val="28"/>
          <w:szCs w:val="28"/>
          <w:lang w:val="en-US" w:eastAsia="zh-CN" w:bidi="ar-SA"/>
        </w:rPr>
        <w:t>供应商的报价应包括：人员费用、运输费用、设备费、管理费及税金等为完成询价文件规定全部内容所需的一切应有费用。</w:t>
      </w:r>
    </w:p>
    <w:p>
      <w:pPr>
        <w:spacing w:line="400" w:lineRule="exact"/>
        <w:ind w:firstLine="562" w:firstLineChars="200"/>
        <w:rPr>
          <w:rFonts w:hint="eastAsia" w:ascii="仿宋" w:hAnsi="仿宋" w:eastAsia="仿宋" w:cs="仿宋"/>
          <w:snapToGrid w:val="0"/>
          <w:color w:val="auto"/>
          <w:sz w:val="28"/>
          <w:szCs w:val="28"/>
          <w:lang w:val="zh-CN" w:eastAsia="zh-CN"/>
        </w:rPr>
      </w:pPr>
      <w:r>
        <w:rPr>
          <w:rFonts w:hint="eastAsia" w:ascii="仿宋" w:hAnsi="仿宋" w:eastAsia="仿宋" w:cs="仿宋"/>
          <w:b/>
          <w:bCs/>
          <w:snapToGrid w:val="0"/>
          <w:color w:val="auto"/>
          <w:sz w:val="28"/>
          <w:szCs w:val="28"/>
          <w:lang w:eastAsia="zh-CN"/>
        </w:rPr>
        <w:t>（二）交货地点：采购人指定地点</w:t>
      </w:r>
    </w:p>
    <w:p>
      <w:pPr>
        <w:numPr>
          <w:ilvl w:val="0"/>
          <w:numId w:val="0"/>
        </w:numPr>
        <w:spacing w:line="400" w:lineRule="exact"/>
        <w:ind w:firstLine="562" w:firstLineChars="200"/>
        <w:rPr>
          <w:rFonts w:hint="eastAsia" w:ascii="仿宋" w:hAnsi="仿宋" w:eastAsia="仿宋" w:cs="仿宋"/>
          <w:b/>
          <w:bCs/>
          <w:snapToGrid w:val="0"/>
          <w:color w:val="auto"/>
          <w:sz w:val="28"/>
          <w:szCs w:val="28"/>
          <w:lang w:eastAsia="zh-CN"/>
        </w:rPr>
      </w:pPr>
      <w:r>
        <w:rPr>
          <w:rFonts w:hint="eastAsia" w:ascii="仿宋" w:hAnsi="仿宋" w:eastAsia="仿宋" w:cs="仿宋"/>
          <w:b/>
          <w:bCs/>
          <w:snapToGrid w:val="0"/>
          <w:color w:val="auto"/>
          <w:sz w:val="28"/>
          <w:szCs w:val="28"/>
          <w:lang w:eastAsia="zh-CN"/>
        </w:rPr>
        <w:t>（四）售后服务</w:t>
      </w:r>
    </w:p>
    <w:p>
      <w:pPr>
        <w:spacing w:line="40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1.售后服务：</w:t>
      </w:r>
      <w:r>
        <w:rPr>
          <w:rFonts w:hint="eastAsia" w:ascii="仿宋" w:hAnsi="仿宋" w:eastAsia="仿宋" w:cs="仿宋"/>
          <w:color w:val="auto"/>
          <w:sz w:val="28"/>
          <w:szCs w:val="28"/>
        </w:rPr>
        <w:t>依据商品的保修条款及售后服务条款，提供原厂质保，质保期按照国家规定，且不低于所供品牌向用户承诺的质保期限。</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文件另有约定的从其约定。质保期从货物验收合格后算起。</w:t>
      </w:r>
    </w:p>
    <w:p>
      <w:pPr>
        <w:spacing w:line="400" w:lineRule="exact"/>
        <w:ind w:firstLine="562" w:firstLineChars="200"/>
        <w:rPr>
          <w:rFonts w:hint="eastAsia" w:ascii="仿宋" w:hAnsi="仿宋" w:eastAsia="仿宋" w:cs="仿宋"/>
          <w:snapToGrid w:val="0"/>
          <w:color w:val="auto"/>
          <w:sz w:val="28"/>
          <w:szCs w:val="28"/>
        </w:rPr>
      </w:pPr>
      <w:r>
        <w:rPr>
          <w:rFonts w:hint="eastAsia" w:ascii="仿宋" w:hAnsi="仿宋" w:eastAsia="仿宋" w:cs="仿宋"/>
          <w:b/>
          <w:bCs/>
          <w:color w:val="auto"/>
          <w:sz w:val="28"/>
          <w:szCs w:val="28"/>
        </w:rPr>
        <w:t>2.供货要求：</w:t>
      </w:r>
      <w:r>
        <w:rPr>
          <w:rFonts w:hint="eastAsia" w:ascii="仿宋" w:hAnsi="仿宋" w:eastAsia="仿宋" w:cs="仿宋"/>
          <w:color w:val="auto"/>
          <w:sz w:val="28"/>
          <w:szCs w:val="28"/>
        </w:rPr>
        <w:t>供应商成交以后，</w:t>
      </w:r>
      <w:r>
        <w:rPr>
          <w:rFonts w:hint="eastAsia" w:ascii="仿宋" w:hAnsi="仿宋" w:eastAsia="仿宋" w:cs="仿宋"/>
          <w:color w:val="auto"/>
          <w:sz w:val="28"/>
          <w:szCs w:val="28"/>
          <w:lang w:eastAsia="zh-CN"/>
        </w:rPr>
        <w:t>按相关要求、期限及业主要求供货</w:t>
      </w:r>
      <w:r>
        <w:rPr>
          <w:rFonts w:hint="eastAsia" w:ascii="仿宋" w:hAnsi="仿宋" w:eastAsia="仿宋" w:cs="仿宋"/>
          <w:color w:val="auto"/>
          <w:sz w:val="28"/>
          <w:szCs w:val="28"/>
        </w:rPr>
        <w:t>，否则，采购人有权解除合同，由此造成的全部损失，由成交供应商全部承担。</w:t>
      </w:r>
    </w:p>
    <w:p>
      <w:pPr>
        <w:spacing w:line="400" w:lineRule="exact"/>
        <w:ind w:firstLine="560" w:firstLineChars="200"/>
        <w:rPr>
          <w:rFonts w:hint="eastAsia" w:ascii="仿宋" w:hAnsi="仿宋" w:eastAsia="仿宋" w:cs="仿宋"/>
          <w:snapToGrid w:val="0"/>
          <w:color w:val="auto"/>
          <w:sz w:val="28"/>
          <w:szCs w:val="28"/>
          <w:lang w:val="zh-CN"/>
        </w:rPr>
      </w:pPr>
      <w:r>
        <w:rPr>
          <w:rFonts w:hint="eastAsia" w:ascii="仿宋" w:hAnsi="仿宋" w:eastAsia="仿宋" w:cs="仿宋"/>
          <w:snapToGrid w:val="0"/>
          <w:color w:val="auto"/>
          <w:sz w:val="28"/>
          <w:szCs w:val="28"/>
        </w:rPr>
        <w:t>3.</w:t>
      </w:r>
      <w:r>
        <w:rPr>
          <w:rFonts w:hint="eastAsia" w:ascii="仿宋" w:hAnsi="仿宋" w:eastAsia="仿宋" w:cs="仿宋"/>
          <w:snapToGrid w:val="0"/>
          <w:color w:val="auto"/>
          <w:sz w:val="28"/>
          <w:szCs w:val="28"/>
          <w:lang w:val="zh-CN"/>
        </w:rPr>
        <w:t>报价方对提供的货物在质保期内，因产品质量而导致的缺陷，必须免费提供包换、包退服务。</w:t>
      </w:r>
    </w:p>
    <w:p>
      <w:pPr>
        <w:spacing w:line="400" w:lineRule="exact"/>
        <w:ind w:firstLine="562" w:firstLineChars="200"/>
        <w:rPr>
          <w:rFonts w:hint="eastAsia" w:ascii="仿宋" w:hAnsi="仿宋" w:eastAsia="仿宋" w:cs="仿宋"/>
          <w:color w:val="auto"/>
          <w:sz w:val="28"/>
          <w:szCs w:val="28"/>
        </w:rPr>
      </w:pPr>
      <w:r>
        <w:rPr>
          <w:rFonts w:hint="eastAsia" w:ascii="仿宋" w:hAnsi="仿宋" w:eastAsia="仿宋" w:cs="仿宋"/>
          <w:b/>
          <w:bCs/>
          <w:snapToGrid w:val="0"/>
          <w:color w:val="auto"/>
          <w:sz w:val="28"/>
          <w:szCs w:val="28"/>
          <w:lang w:val="en-US" w:eastAsia="zh-CN"/>
        </w:rPr>
        <w:t>（五）付款及结算方式：</w:t>
      </w:r>
      <w:r>
        <w:rPr>
          <w:rFonts w:hint="eastAsia" w:ascii="仿宋" w:hAnsi="仿宋" w:eastAsia="仿宋" w:cs="仿宋"/>
          <w:color w:val="auto"/>
          <w:sz w:val="28"/>
          <w:szCs w:val="28"/>
        </w:rPr>
        <w:t>验收合格</w:t>
      </w:r>
      <w:r>
        <w:rPr>
          <w:rFonts w:hint="eastAsia" w:ascii="仿宋" w:hAnsi="仿宋" w:eastAsia="仿宋" w:cs="仿宋"/>
          <w:snapToGrid w:val="0"/>
          <w:color w:val="auto"/>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color w:val="auto"/>
          <w:sz w:val="28"/>
          <w:szCs w:val="28"/>
          <w:lang w:val="en-US" w:eastAsia="zh-CN"/>
        </w:rPr>
        <w:t>15</w:t>
      </w:r>
      <w:r>
        <w:rPr>
          <w:rFonts w:hint="eastAsia" w:ascii="仿宋" w:hAnsi="仿宋" w:eastAsia="仿宋" w:cs="仿宋"/>
          <w:snapToGrid w:val="0"/>
          <w:color w:val="auto"/>
          <w:sz w:val="28"/>
          <w:szCs w:val="28"/>
          <w:lang w:val="zh-CN"/>
        </w:rPr>
        <w:t>个工作日内结清</w:t>
      </w:r>
      <w:r>
        <w:rPr>
          <w:rFonts w:hint="eastAsia" w:ascii="仿宋" w:hAnsi="仿宋" w:eastAsia="仿宋" w:cs="仿宋"/>
          <w:snapToGrid w:val="0"/>
          <w:color w:val="auto"/>
          <w:sz w:val="28"/>
          <w:szCs w:val="28"/>
          <w:lang w:val="zh-CN" w:eastAsia="zh-CN"/>
        </w:rPr>
        <w:t>全部</w:t>
      </w:r>
      <w:r>
        <w:rPr>
          <w:rFonts w:hint="eastAsia" w:ascii="仿宋" w:hAnsi="仿宋" w:eastAsia="仿宋" w:cs="仿宋"/>
          <w:snapToGrid w:val="0"/>
          <w:color w:val="auto"/>
          <w:sz w:val="28"/>
          <w:szCs w:val="28"/>
          <w:lang w:val="zh-CN"/>
        </w:rPr>
        <w:t>货款。</w:t>
      </w:r>
    </w:p>
    <w:p>
      <w:pPr>
        <w:spacing w:line="40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（六）</w:t>
      </w:r>
      <w:r>
        <w:rPr>
          <w:rFonts w:hint="eastAsia" w:ascii="仿宋" w:hAnsi="仿宋" w:eastAsia="仿宋" w:cs="仿宋"/>
          <w:snapToGrid w:val="0"/>
          <w:color w:val="auto"/>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40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）验收方法及标准</w:t>
      </w:r>
    </w:p>
    <w:p>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按照签订的采购合同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技术要求及标准对每一环节、标准的履约情况进行验收。验收结束后，应当出具验收书，由双方共同签署。</w:t>
      </w:r>
    </w:p>
    <w:p>
      <w:pPr>
        <w:spacing w:line="40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（八）其它说明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p>
    <w:p>
      <w:pPr>
        <w:pStyle w:val="10"/>
        <w:numPr>
          <w:ilvl w:val="0"/>
          <w:numId w:val="0"/>
        </w:numPr>
        <w:ind w:firstLine="560" w:firstLineChars="200"/>
        <w:rPr>
          <w:rFonts w:hint="eastAsia" w:ascii="仿宋" w:hAnsi="仿宋" w:eastAsia="仿宋" w:cs="仿宋"/>
          <w:color w:val="auto"/>
          <w:sz w:val="28"/>
          <w:szCs w:val="28"/>
          <w:lang w:eastAsia="zh-CN"/>
        </w:rPr>
      </w:pPr>
    </w:p>
    <w:p>
      <w:pPr>
        <w:rPr>
          <w:rFonts w:hint="default"/>
          <w:color w:val="auto"/>
          <w:lang w:val="en-US" w:eastAsia="zh-CN"/>
        </w:rPr>
      </w:pPr>
    </w:p>
    <w:bookmarkEnd w:id="0"/>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pPr>
        <w:pStyle w:val="6"/>
        <w:ind w:left="0" w:leftChars="0" w:firstLine="0" w:firstLineChars="0"/>
        <w:rPr>
          <w:rFonts w:hint="eastAsia" w:ascii="仿宋" w:hAnsi="仿宋" w:eastAsia="仿宋" w:cs="仿宋"/>
          <w:snapToGrid w:val="0"/>
          <w:color w:val="auto"/>
          <w:kern w:val="2"/>
          <w:sz w:val="27"/>
          <w:szCs w:val="27"/>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0FBF0"/>
    <w:multiLevelType w:val="singleLevel"/>
    <w:tmpl w:val="F680FB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08B0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styleId="6">
    <w:name w:val="Body Text First Indent 2"/>
    <w:basedOn w:val="3"/>
    <w:qFormat/>
    <w:uiPriority w:val="0"/>
    <w:pPr>
      <w:ind w:left="420" w:firstLine="420" w:firstLineChars="200"/>
    </w:pPr>
  </w:style>
  <w:style w:type="character" w:styleId="9">
    <w:name w:val="Hyperlink"/>
    <w:basedOn w:val="8"/>
    <w:qFormat/>
    <w:uiPriority w:val="0"/>
    <w:rPr>
      <w:color w:val="0000FF"/>
      <w:u w:val="single"/>
    </w:rPr>
  </w:style>
  <w:style w:type="paragraph" w:customStyle="1" w:styleId="10">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2024-03-14T06:42:34Z</dcterms:created>
  <dc:creator>Administrator</dc:creator>
  <cp:lastModifiedBy>W西瓜味的美少女</cp:lastModifiedBy>
  <dcterms:modified xsi:type="dcterms:W3CDTF">2024-03-14T06:43:01Z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71856541077849DD8FF5DFCDC099784D_12</vt:lpwstr>
  </property>
</Properties>
</file>