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numId w:val="0"/>
        </w:numPr>
        <w:spacing w:line="520" w:lineRule="exact"/>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采购需求</w:t>
      </w:r>
    </w:p>
    <w:p>
      <w:pPr>
        <w:pStyle w:val="5"/>
        <w:spacing w:line="520" w:lineRule="exact"/>
        <w:ind w:firstLine="560" w:firstLineChars="200"/>
        <w:jc w:val="left"/>
        <w:rPr>
          <w:rFonts w:hint="eastAsia" w:ascii="黑体" w:hAnsi="黑体" w:eastAsia="黑体" w:cs="黑体"/>
          <w:color w:val="000000"/>
          <w:kern w:val="0"/>
          <w:sz w:val="28"/>
          <w:szCs w:val="28"/>
          <w:lang w:val="zh-CN" w:bidi="ar"/>
        </w:rPr>
      </w:pPr>
    </w:p>
    <w:p>
      <w:pPr>
        <w:numPr>
          <w:ilvl w:val="0"/>
          <w:numId w:val="1"/>
        </w:numPr>
        <w:spacing w:line="400" w:lineRule="exact"/>
        <w:ind w:firstLine="560" w:firstLineChars="200"/>
        <w:rPr>
          <w:rFonts w:hint="eastAsia" w:ascii="黑体" w:hAnsi="黑体" w:eastAsia="黑体" w:cs="黑体"/>
          <w:b/>
          <w:bCs/>
          <w:sz w:val="28"/>
          <w:szCs w:val="28"/>
        </w:rPr>
      </w:pPr>
      <w:r>
        <w:rPr>
          <w:rFonts w:hint="eastAsia" w:ascii="黑体" w:hAnsi="黑体" w:eastAsia="黑体" w:cs="黑体"/>
          <w:sz w:val="28"/>
          <w:szCs w:val="28"/>
        </w:rPr>
        <w:t>采购需求一览表及技术要求</w:t>
      </w:r>
    </w:p>
    <w:tbl>
      <w:tblPr>
        <w:tblStyle w:val="7"/>
        <w:tblpPr w:leftFromText="180" w:rightFromText="180" w:vertAnchor="text" w:horzAnchor="page" w:tblpX="890" w:tblpY="407"/>
        <w:tblOverlap w:val="never"/>
        <w:tblW w:w="5444"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1"/>
        <w:gridCol w:w="1165"/>
        <w:gridCol w:w="5789"/>
        <w:gridCol w:w="1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432"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baseline"/>
              <w:rPr>
                <w:rFonts w:hint="eastAsia" w:ascii="仿宋" w:hAnsi="仿宋" w:eastAsia="仿宋" w:cs="仿宋"/>
                <w:b/>
                <w:bCs/>
                <w:color w:val="000000"/>
                <w:sz w:val="24"/>
              </w:rPr>
            </w:pPr>
            <w:r>
              <w:rPr>
                <w:rStyle w:val="9"/>
                <w:rFonts w:hint="eastAsia" w:ascii="仿宋" w:hAnsi="仿宋" w:eastAsia="仿宋" w:cs="仿宋"/>
                <w:b/>
                <w:bCs/>
                <w:color w:val="000000"/>
              </w:rPr>
              <w:t>序号</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90" w:leftChars="43"/>
              <w:jc w:val="center"/>
              <w:textAlignment w:val="baseline"/>
              <w:rPr>
                <w:rFonts w:hint="eastAsia" w:ascii="仿宋" w:hAnsi="仿宋" w:eastAsia="仿宋" w:cs="仿宋"/>
                <w:b/>
                <w:bCs/>
                <w:color w:val="000000"/>
                <w:sz w:val="24"/>
              </w:rPr>
            </w:pPr>
            <w:r>
              <w:rPr>
                <w:rStyle w:val="9"/>
                <w:rFonts w:hint="eastAsia" w:ascii="仿宋" w:hAnsi="仿宋" w:eastAsia="仿宋" w:cs="仿宋"/>
                <w:b/>
                <w:bCs/>
                <w:color w:val="000000"/>
              </w:rPr>
              <w:t>项目</w:t>
            </w:r>
          </w:p>
        </w:tc>
        <w:tc>
          <w:tcPr>
            <w:tcW w:w="3196"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baseline"/>
              <w:rPr>
                <w:rFonts w:hint="eastAsia" w:ascii="仿宋" w:hAnsi="仿宋" w:eastAsia="仿宋" w:cs="仿宋"/>
                <w:color w:val="000000"/>
                <w:sz w:val="24"/>
              </w:rPr>
            </w:pPr>
            <w:r>
              <w:rPr>
                <w:rFonts w:hint="eastAsia" w:ascii="仿宋" w:hAnsi="仿宋" w:eastAsia="仿宋" w:cs="仿宋"/>
                <w:b/>
                <w:bCs/>
                <w:color w:val="000000"/>
                <w:sz w:val="24"/>
              </w:rPr>
              <w:t>技术要求</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baseline"/>
              <w:rPr>
                <w:rFonts w:hint="eastAsia" w:ascii="仿宋" w:hAnsi="仿宋" w:eastAsia="仿宋" w:cs="仿宋"/>
                <w:b/>
                <w:bCs/>
                <w:sz w:val="24"/>
              </w:rPr>
            </w:pPr>
            <w:r>
              <w:rPr>
                <w:rStyle w:val="9"/>
                <w:rFonts w:hint="eastAsia" w:ascii="仿宋" w:hAnsi="仿宋" w:eastAsia="仿宋" w:cs="仿宋"/>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6" w:hRule="atLeast"/>
        </w:trPr>
        <w:tc>
          <w:tcPr>
            <w:tcW w:w="432" w:type="pct"/>
            <w:tcBorders>
              <w:left w:val="single" w:color="000000" w:sz="4" w:space="0"/>
              <w:right w:val="single" w:color="000000" w:sz="4" w:space="0"/>
            </w:tcBorders>
            <w:noWrap w:val="0"/>
            <w:vAlign w:val="center"/>
          </w:tcPr>
          <w:p>
            <w:pPr>
              <w:pStyle w:val="10"/>
              <w:ind w:firstLine="0"/>
              <w:jc w:val="center"/>
              <w:rPr>
                <w:rFonts w:hint="eastAsia" w:ascii="仿宋" w:hAnsi="仿宋" w:eastAsia="仿宋" w:cs="仿宋"/>
                <w:sz w:val="24"/>
                <w:szCs w:val="24"/>
              </w:rPr>
            </w:pPr>
            <w:r>
              <w:rPr>
                <w:rFonts w:hint="eastAsia" w:ascii="仿宋" w:hAnsi="仿宋" w:eastAsia="仿宋" w:cs="仿宋"/>
                <w:sz w:val="24"/>
                <w:szCs w:val="24"/>
              </w:rPr>
              <w:t>1</w:t>
            </w:r>
          </w:p>
        </w:tc>
        <w:tc>
          <w:tcPr>
            <w:tcW w:w="643" w:type="pct"/>
            <w:tcBorders>
              <w:left w:val="single" w:color="000000" w:sz="4" w:space="0"/>
              <w:right w:val="single" w:color="000000" w:sz="4" w:space="0"/>
            </w:tcBorders>
            <w:noWrap w:val="0"/>
            <w:vAlign w:val="center"/>
          </w:tcPr>
          <w:p>
            <w:pPr>
              <w:pStyle w:val="10"/>
              <w:ind w:firstLine="0"/>
              <w:jc w:val="center"/>
              <w:rPr>
                <w:rFonts w:hint="eastAsia" w:ascii="仿宋" w:hAnsi="仿宋" w:eastAsia="仿宋" w:cs="仿宋"/>
                <w:sz w:val="24"/>
                <w:szCs w:val="24"/>
              </w:rPr>
            </w:pPr>
            <w:r>
              <w:rPr>
                <w:rFonts w:hint="eastAsia" w:ascii="仿宋" w:hAnsi="仿宋" w:eastAsia="仿宋" w:cs="仿宋"/>
                <w:b/>
                <w:bCs/>
                <w:sz w:val="24"/>
                <w:szCs w:val="24"/>
              </w:rPr>
              <w:t>冷库、冷藏车、保温箱验证服务</w:t>
            </w:r>
          </w:p>
        </w:tc>
        <w:tc>
          <w:tcPr>
            <w:tcW w:w="3196" w:type="pct"/>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b/>
                <w:bCs/>
                <w:sz w:val="24"/>
              </w:rPr>
            </w:pPr>
            <w:r>
              <w:rPr>
                <w:rFonts w:hint="eastAsia" w:ascii="仿宋" w:hAnsi="仿宋" w:eastAsia="仿宋" w:cs="仿宋"/>
                <w:b/>
                <w:bCs/>
                <w:sz w:val="24"/>
              </w:rPr>
              <w:t>冷库维护保养包含以下内容：</w:t>
            </w:r>
          </w:p>
          <w:p>
            <w:pPr>
              <w:spacing w:line="32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一．冷库维护保养（总库容176.9立方米）</w:t>
            </w:r>
          </w:p>
          <w:p>
            <w:pPr>
              <w:spacing w:line="320" w:lineRule="exact"/>
              <w:ind w:firstLine="240" w:firstLineChars="100"/>
              <w:jc w:val="left"/>
              <w:rPr>
                <w:rFonts w:hint="eastAsia" w:ascii="仿宋" w:hAnsi="仿宋" w:eastAsia="仿宋" w:cs="仿宋"/>
                <w:sz w:val="24"/>
              </w:rPr>
            </w:pPr>
            <w:r>
              <w:rPr>
                <w:rFonts w:hint="eastAsia" w:ascii="仿宋" w:hAnsi="仿宋" w:eastAsia="仿宋" w:cs="仿宋"/>
                <w:sz w:val="24"/>
              </w:rPr>
              <w:t>1.日常维护保养服务，并做纸质维保记录归档使用；</w:t>
            </w:r>
          </w:p>
          <w:p>
            <w:pPr>
              <w:spacing w:line="320" w:lineRule="exact"/>
              <w:ind w:firstLine="240" w:firstLineChars="100"/>
              <w:jc w:val="left"/>
              <w:rPr>
                <w:rFonts w:hint="eastAsia" w:ascii="仿宋" w:hAnsi="仿宋" w:eastAsia="仿宋" w:cs="仿宋"/>
                <w:sz w:val="24"/>
              </w:rPr>
            </w:pPr>
            <w:r>
              <w:rPr>
                <w:rFonts w:hint="eastAsia" w:ascii="仿宋" w:hAnsi="仿宋" w:eastAsia="仿宋" w:cs="仿宋"/>
                <w:sz w:val="24"/>
              </w:rPr>
              <w:t>2.日常维修，维修记录归档；</w:t>
            </w:r>
          </w:p>
          <w:p>
            <w:pPr>
              <w:spacing w:line="320" w:lineRule="exact"/>
              <w:ind w:firstLine="240" w:firstLineChars="100"/>
              <w:jc w:val="left"/>
              <w:rPr>
                <w:rFonts w:hint="eastAsia" w:ascii="仿宋" w:hAnsi="仿宋" w:eastAsia="仿宋" w:cs="仿宋"/>
                <w:sz w:val="24"/>
              </w:rPr>
            </w:pPr>
            <w:r>
              <w:rPr>
                <w:rFonts w:hint="eastAsia" w:ascii="仿宋" w:hAnsi="仿宋" w:eastAsia="仿宋" w:cs="仿宋"/>
                <w:sz w:val="24"/>
              </w:rPr>
              <w:t>3.维保方需在合同期内提供全年24小时维保服务和投诉电话，紧急情况下，接到通知后，技术维修人员在2小时内到达冷库故障现场进行抢修；</w:t>
            </w:r>
          </w:p>
          <w:p>
            <w:pPr>
              <w:spacing w:line="320" w:lineRule="exact"/>
              <w:ind w:firstLine="240" w:firstLineChars="100"/>
              <w:jc w:val="left"/>
              <w:rPr>
                <w:rFonts w:hint="eastAsia" w:ascii="仿宋" w:hAnsi="仿宋" w:eastAsia="仿宋" w:cs="仿宋"/>
                <w:kern w:val="0"/>
                <w:sz w:val="24"/>
              </w:rPr>
            </w:pPr>
            <w:r>
              <w:rPr>
                <w:rFonts w:hint="eastAsia" w:ascii="仿宋" w:hAnsi="仿宋" w:eastAsia="仿宋" w:cs="仿宋"/>
                <w:sz w:val="24"/>
                <w:lang w:val="en-US" w:eastAsia="zh-CN"/>
              </w:rPr>
              <w:t>4</w:t>
            </w:r>
            <w:r>
              <w:rPr>
                <w:rFonts w:hint="eastAsia" w:ascii="仿宋" w:hAnsi="仿宋" w:eastAsia="仿宋" w:cs="仿宋"/>
                <w:sz w:val="24"/>
              </w:rPr>
              <w:t>.检查机组运行情况，记录分析运行情况；加注润滑油；检查膨胀阀工作情况；检查电控系统动作程序；检查安全保护开关整定情况；检查是否有异常噪音及震动；检查清理控制箱；制冷剂及冷冻油的添加；发电机组检查保养等</w:t>
            </w:r>
          </w:p>
          <w:p>
            <w:pPr>
              <w:pStyle w:val="6"/>
              <w:ind w:left="0" w:firstLine="240" w:firstLineChars="1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.每年维护保养不少于7次，时间分别为：一个季度进行一次上门维保服务，五一/国庆/春节长假日前进行一次冷库设施设备的全面检修与维护，有问题及时解决。</w:t>
            </w:r>
          </w:p>
          <w:p>
            <w:pPr>
              <w:spacing w:line="320" w:lineRule="exact"/>
              <w:ind w:firstLine="240" w:firstLineChars="100"/>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.具有专业技术人员（如水电工等）</w:t>
            </w:r>
          </w:p>
          <w:p>
            <w:pPr>
              <w:spacing w:line="320" w:lineRule="exact"/>
              <w:ind w:firstLine="240" w:firstLineChars="100"/>
              <w:jc w:val="left"/>
              <w:rPr>
                <w:rFonts w:hint="eastAsia" w:ascii="仿宋" w:hAnsi="仿宋" w:eastAsia="仿宋" w:cs="仿宋"/>
                <w:color w:val="auto"/>
                <w:kern w:val="0"/>
                <w:sz w:val="24"/>
                <w:szCs w:val="24"/>
              </w:rPr>
            </w:pPr>
            <w:r>
              <w:rPr>
                <w:rFonts w:hint="eastAsia" w:ascii="仿宋" w:hAnsi="仿宋" w:eastAsia="仿宋" w:cs="仿宋"/>
                <w:color w:val="auto"/>
                <w:kern w:val="0"/>
                <w:sz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遇到突发事件1小时内到达现场进行处置。</w:t>
            </w:r>
          </w:p>
          <w:p>
            <w:pPr>
              <w:spacing w:line="320" w:lineRule="exact"/>
              <w:jc w:val="left"/>
              <w:rPr>
                <w:rFonts w:hint="eastAsia" w:ascii="仿宋" w:hAnsi="仿宋" w:eastAsia="仿宋" w:cs="仿宋"/>
                <w:color w:val="auto"/>
                <w:sz w:val="24"/>
              </w:rPr>
            </w:pPr>
            <w:r>
              <w:rPr>
                <w:rFonts w:hint="eastAsia" w:ascii="仿宋" w:hAnsi="仿宋" w:eastAsia="仿宋" w:cs="仿宋"/>
                <w:b/>
                <w:bCs/>
                <w:color w:val="auto"/>
                <w:sz w:val="24"/>
              </w:rPr>
              <w:t>验证项目包含以下内容：</w:t>
            </w:r>
          </w:p>
          <w:p>
            <w:pPr>
              <w:spacing w:line="32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二、冷库验证</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1.温度分布特性的测试与分析，确定适宜药品存放的安全位置及区域；</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2.温控设备运行参数及使用状况测试；</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3.监测系统配置的测点终端参数及安装位置确认；</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4.开门作业对库房温度分布及药品储存的影响；</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5.确定设备故障或外部供电中断的状况下，库房保温性能及变化趋势分析；</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6.对本地区的高温或低温等极端外部环境条件，分别进行保温效果评估；</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7.在新建库房初次使用前或改造后重新使用前，进行空载及满载验证；</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8.年度定期验证时，进行满载验证。</w:t>
            </w:r>
          </w:p>
          <w:p>
            <w:pPr>
              <w:spacing w:line="32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二、冷藏车</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1.温度分布特性的测试与分析，确定适宜药品存放的安全位置及区域；</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2.温控设备运行参数及使用状况测试；</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3.监测系统配置的测点终端参数及安装位置确认；</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4.开门作业对车辆温度分布及药品储存的影响；</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5.确定设备故障或外部供电中断的状况下，车辆保温性能及变化趋势分析；</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6.对本地区的高温或低温等极端外部环境条件，分别进行保温效果评估；</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7.年度定期验证时，进行满载验证。</w:t>
            </w:r>
          </w:p>
          <w:p>
            <w:pPr>
              <w:spacing w:line="32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三、保温箱</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1.箱内温度分布特性的测试与分析，分析箱体内温度变化及趋势；</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2.蓄冷剂配备使用的条件测试；</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3.温度自动监测设备放置位置确认；</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4.开箱作业对箱内温度分布及变化的影响；</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5.高温或低温等极端外部环境条件下的保温效果评估；</w:t>
            </w:r>
          </w:p>
          <w:p>
            <w:pPr>
              <w:spacing w:line="32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 xml:space="preserve">6.运输最长时限验证。 </w:t>
            </w:r>
          </w:p>
          <w:p>
            <w:pPr>
              <w:spacing w:line="320" w:lineRule="exact"/>
              <w:jc w:val="left"/>
              <w:rPr>
                <w:rFonts w:hint="eastAsia" w:ascii="仿宋" w:hAnsi="仿宋" w:eastAsia="仿宋" w:cs="仿宋"/>
                <w:b/>
                <w:bCs/>
                <w:sz w:val="24"/>
              </w:rPr>
            </w:pPr>
            <w:r>
              <w:rPr>
                <w:rFonts w:hint="eastAsia" w:ascii="仿宋" w:hAnsi="仿宋" w:eastAsia="仿宋" w:cs="仿宋"/>
                <w:b/>
                <w:bCs/>
                <w:sz w:val="24"/>
              </w:rPr>
              <w:t>四、</w:t>
            </w:r>
            <w:r>
              <w:rPr>
                <w:rFonts w:hint="eastAsia" w:ascii="仿宋" w:hAnsi="仿宋" w:eastAsia="仿宋" w:cs="仿宋"/>
                <w:b/>
                <w:bCs/>
                <w:sz w:val="24"/>
                <w:lang w:eastAsia="zh-CN"/>
              </w:rPr>
              <w:t>医用</w:t>
            </w:r>
            <w:r>
              <w:rPr>
                <w:rFonts w:hint="eastAsia" w:ascii="仿宋" w:hAnsi="仿宋" w:eastAsia="仿宋" w:cs="仿宋"/>
                <w:b/>
                <w:bCs/>
                <w:sz w:val="24"/>
              </w:rPr>
              <w:t>低温冰箱</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1.当前环境温度下，冷冻柜制冷机组温度控制参数范围的确认。</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2冷冻柜内温度分布特性的测试与分析，确定适宜药品存放的安全位置及区域。</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3.在当前环境温度下，冷冻柜开门时间的确认</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4.确定设备故障或外部供电中断的状况下，冷冻柜保温性能及变化趋势分析</w:t>
            </w:r>
          </w:p>
          <w:p>
            <w:pPr>
              <w:spacing w:line="320" w:lineRule="exact"/>
              <w:ind w:firstLine="480" w:firstLineChars="200"/>
              <w:jc w:val="left"/>
              <w:rPr>
                <w:rFonts w:hint="eastAsia" w:ascii="仿宋" w:hAnsi="仿宋" w:eastAsia="仿宋" w:cs="仿宋"/>
                <w:sz w:val="24"/>
              </w:rPr>
            </w:pPr>
            <w:r>
              <w:rPr>
                <w:rFonts w:hint="eastAsia" w:ascii="仿宋" w:hAnsi="仿宋" w:eastAsia="仿宋" w:cs="仿宋"/>
                <w:sz w:val="24"/>
              </w:rPr>
              <w:t>5.监测系统配置的测点终端准确性及安装位置确认。</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left="105" w:leftChars="50"/>
              <w:textAlignment w:val="baseline"/>
              <w:rPr>
                <w:rStyle w:val="9"/>
                <w:rFonts w:hint="eastAsia" w:ascii="仿宋" w:hAnsi="仿宋" w:eastAsia="仿宋" w:cs="仿宋"/>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6" w:hRule="atLeast"/>
        </w:trPr>
        <w:tc>
          <w:tcPr>
            <w:tcW w:w="1075" w:type="pct"/>
            <w:gridSpan w:val="2"/>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说明</w:t>
            </w:r>
          </w:p>
        </w:tc>
        <w:tc>
          <w:tcPr>
            <w:tcW w:w="392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1.报价方须对所报价包内所有服务内容进行报价，否则视为无效报价。</w:t>
            </w:r>
          </w:p>
          <w:p>
            <w:pPr>
              <w:spacing w:line="32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2.以上技术要求必须全部满足，提供承诺函，格式自拟。</w:t>
            </w:r>
          </w:p>
          <w:p>
            <w:pPr>
              <w:spacing w:line="320" w:lineRule="exact"/>
              <w:ind w:firstLine="482" w:firstLineChars="200"/>
              <w:jc w:val="left"/>
              <w:rPr>
                <w:rFonts w:hint="eastAsia" w:ascii="仿宋" w:hAnsi="仿宋" w:eastAsia="仿宋" w:cs="仿宋"/>
                <w:sz w:val="24"/>
              </w:rPr>
            </w:pPr>
            <w:r>
              <w:rPr>
                <w:rFonts w:hint="eastAsia" w:ascii="仿宋" w:hAnsi="仿宋" w:eastAsia="仿宋" w:cs="仿宋"/>
                <w:b/>
                <w:bCs/>
                <w:sz w:val="24"/>
              </w:rPr>
              <w:t>3.科学验证及校准服务必须出具加盖公章的验证及校准报告，否则按无效响应处理。（须提供承诺函，格式自拟）</w:t>
            </w:r>
          </w:p>
        </w:tc>
      </w:tr>
    </w:tbl>
    <w:p>
      <w:pPr>
        <w:pStyle w:val="5"/>
        <w:spacing w:line="520" w:lineRule="exact"/>
        <w:jc w:val="left"/>
        <w:rPr>
          <w:rFonts w:hint="eastAsia" w:ascii="黑体" w:hAnsi="黑体" w:eastAsia="黑体" w:cs="黑体"/>
          <w:color w:val="000000"/>
          <w:kern w:val="0"/>
          <w:sz w:val="28"/>
          <w:szCs w:val="28"/>
          <w:lang w:val="zh-CN" w:bidi="ar"/>
        </w:rPr>
      </w:pPr>
    </w:p>
    <w:p>
      <w:pPr>
        <w:pStyle w:val="5"/>
        <w:spacing w:line="520" w:lineRule="exact"/>
        <w:jc w:val="left"/>
        <w:rPr>
          <w:rFonts w:hint="eastAsia" w:ascii="仿宋" w:hAnsi="仿宋" w:eastAsia="仿宋" w:cs="仿宋"/>
          <w:snapToGrid w:val="0"/>
          <w:sz w:val="28"/>
          <w:szCs w:val="28"/>
        </w:rPr>
      </w:pPr>
      <w:r>
        <w:rPr>
          <w:rFonts w:hint="eastAsia" w:ascii="黑体" w:hAnsi="黑体" w:eastAsia="黑体" w:cs="黑体"/>
          <w:color w:val="000000"/>
          <w:kern w:val="0"/>
          <w:sz w:val="28"/>
          <w:szCs w:val="28"/>
          <w:lang w:val="zh-CN" w:bidi="ar"/>
        </w:rPr>
        <w:t>二、采购商务要求</w:t>
      </w:r>
    </w:p>
    <w:p>
      <w:pPr>
        <w:spacing w:line="520" w:lineRule="exact"/>
        <w:ind w:firstLine="560" w:firstLineChars="200"/>
        <w:rPr>
          <w:rFonts w:hint="eastAsia" w:ascii="仿宋" w:hAnsi="仿宋" w:eastAsia="仿宋" w:cs="仿宋"/>
          <w:snapToGrid w:val="0"/>
          <w:sz w:val="28"/>
          <w:szCs w:val="28"/>
        </w:rPr>
      </w:pPr>
      <w:bookmarkStart w:id="0" w:name="_Toc24273"/>
      <w:r>
        <w:rPr>
          <w:rFonts w:hint="eastAsia" w:ascii="黑体" w:hAnsi="黑体" w:eastAsia="黑体" w:cs="黑体"/>
          <w:sz w:val="28"/>
          <w:szCs w:val="28"/>
        </w:rPr>
        <w:t>（一）报价要求：</w:t>
      </w:r>
      <w:r>
        <w:rPr>
          <w:rFonts w:hint="eastAsia" w:ascii="仿宋" w:hAnsi="仿宋" w:eastAsia="仿宋" w:cs="仿宋"/>
          <w:snapToGrid w:val="0"/>
          <w:sz w:val="28"/>
          <w:szCs w:val="28"/>
        </w:rPr>
        <w:t>供应商的报价应包括：人员费用、运输费用、设备费、管理费及税金等为完成竞价文件规定全部内容所需的一切应有费用。</w:t>
      </w:r>
    </w:p>
    <w:p>
      <w:pPr>
        <w:spacing w:line="520" w:lineRule="exact"/>
        <w:ind w:firstLine="560" w:firstLineChars="200"/>
        <w:rPr>
          <w:rFonts w:hint="eastAsia" w:ascii="仿宋" w:hAnsi="仿宋" w:eastAsia="仿宋" w:cs="仿宋"/>
          <w:snapToGrid w:val="0"/>
          <w:sz w:val="28"/>
          <w:szCs w:val="28"/>
          <w:lang w:val="zh-CN"/>
        </w:rPr>
      </w:pPr>
      <w:r>
        <w:rPr>
          <w:rFonts w:hint="eastAsia" w:ascii="黑体" w:hAnsi="黑体" w:eastAsia="黑体" w:cs="黑体"/>
          <w:snapToGrid w:val="0"/>
          <w:sz w:val="28"/>
          <w:szCs w:val="28"/>
        </w:rPr>
        <w:t>（二）服务地点：</w:t>
      </w:r>
      <w:r>
        <w:rPr>
          <w:rFonts w:hint="eastAsia" w:ascii="仿宋" w:hAnsi="仿宋" w:eastAsia="仿宋" w:cs="仿宋"/>
          <w:snapToGrid w:val="0"/>
          <w:sz w:val="28"/>
          <w:szCs w:val="28"/>
        </w:rPr>
        <w:t>采购人指定地点</w:t>
      </w:r>
    </w:p>
    <w:p>
      <w:pPr>
        <w:spacing w:line="520" w:lineRule="exact"/>
        <w:ind w:firstLine="560" w:firstLineChars="200"/>
        <w:rPr>
          <w:rFonts w:hint="eastAsia" w:ascii="黑体" w:hAnsi="黑体" w:eastAsia="黑体" w:cs="黑体"/>
          <w:snapToGrid w:val="0"/>
          <w:sz w:val="28"/>
          <w:szCs w:val="28"/>
        </w:rPr>
      </w:pPr>
      <w:r>
        <w:rPr>
          <w:rFonts w:hint="eastAsia" w:ascii="黑体" w:hAnsi="黑体" w:eastAsia="黑体" w:cs="黑体"/>
          <w:snapToGrid w:val="0"/>
          <w:sz w:val="28"/>
          <w:szCs w:val="28"/>
        </w:rPr>
        <w:t>（三）其它要求</w:t>
      </w:r>
    </w:p>
    <w:p>
      <w:pPr>
        <w:pStyle w:val="2"/>
        <w:ind w:firstLine="560" w:firstLineChars="200"/>
        <w:rPr>
          <w:rFonts w:hint="eastAsia" w:ascii="仿宋" w:hAnsi="仿宋" w:eastAsia="仿宋" w:cs="仿宋"/>
          <w:sz w:val="28"/>
          <w:szCs w:val="28"/>
        </w:rPr>
      </w:pPr>
      <w:r>
        <w:rPr>
          <w:rFonts w:hint="eastAsia" w:ascii="仿宋" w:hAnsi="仿宋" w:eastAsia="仿宋" w:cs="仿宋"/>
          <w:b w:val="0"/>
          <w:bCs w:val="0"/>
          <w:sz w:val="28"/>
          <w:szCs w:val="28"/>
        </w:rPr>
        <w:t>1.投标供应商具备ISO9001质量管理体系认证书ISO14001、环境管理体系认证证书ISO45001职业健康安全管理体系认证证书，在有效期内</w:t>
      </w:r>
      <w:r>
        <w:rPr>
          <w:rFonts w:hint="eastAsia" w:ascii="仿宋" w:hAnsi="仿宋" w:eastAsia="仿宋" w:cs="仿宋"/>
          <w:sz w:val="28"/>
          <w:szCs w:val="28"/>
        </w:rPr>
        <w:t>（体系认证内容覆盖的范围包括：温湿度验证冷链验证及技术服务），</w:t>
      </w:r>
      <w:r>
        <w:rPr>
          <w:rFonts w:hint="eastAsia" w:ascii="仿宋" w:hAnsi="仿宋" w:eastAsia="仿宋" w:cs="仿宋"/>
          <w:b w:val="0"/>
          <w:bCs w:val="0"/>
          <w:sz w:val="28"/>
          <w:szCs w:val="28"/>
        </w:rPr>
        <w:t>确保验证数据真实有效</w:t>
      </w:r>
      <w:r>
        <w:rPr>
          <w:rFonts w:hint="eastAsia" w:ascii="仿宋" w:hAnsi="仿宋" w:eastAsia="仿宋" w:cs="仿宋"/>
          <w:sz w:val="28"/>
          <w:szCs w:val="28"/>
        </w:rPr>
        <w:t>；</w:t>
      </w:r>
    </w:p>
    <w:p>
      <w:pPr>
        <w:pStyle w:val="2"/>
        <w:ind w:firstLine="562" w:firstLineChars="200"/>
      </w:pPr>
      <w:r>
        <w:rPr>
          <w:rFonts w:hint="eastAsia" w:ascii="仿宋" w:hAnsi="仿宋" w:eastAsia="仿宋" w:cs="仿宋"/>
          <w:sz w:val="28"/>
          <w:szCs w:val="28"/>
        </w:rPr>
        <w:t>2.为确保冷库运行供应</w:t>
      </w:r>
      <w:r>
        <w:rPr>
          <w:rFonts w:hint="eastAsia" w:ascii="仿宋" w:hAnsi="仿宋" w:eastAsia="仿宋" w:cs="仿宋"/>
          <w:color w:val="auto"/>
          <w:sz w:val="28"/>
          <w:szCs w:val="28"/>
        </w:rPr>
        <w:t>商需具有冷库维护经验，需</w:t>
      </w:r>
      <w:r>
        <w:rPr>
          <w:rFonts w:hint="eastAsia" w:ascii="仿宋" w:hAnsi="仿宋" w:eastAsia="仿宋" w:cs="仿宋"/>
          <w:sz w:val="28"/>
          <w:szCs w:val="28"/>
        </w:rPr>
        <w:t>提供三份冷库维护证明文件（证明文件指自2019年1月1日（以合同签订时间）至投标截止日,投标人成功承担过类似本项目服务业绩的,注：提供服务合同复印件或扫描件或影印件并加盖供应商公章）。</w:t>
      </w:r>
    </w:p>
    <w:p>
      <w:pPr>
        <w:spacing w:line="520" w:lineRule="exact"/>
        <w:ind w:firstLine="560" w:firstLineChars="200"/>
        <w:rPr>
          <w:rFonts w:hint="eastAsia" w:ascii="仿宋" w:hAnsi="仿宋" w:eastAsia="仿宋" w:cs="仿宋"/>
          <w:sz w:val="28"/>
          <w:szCs w:val="28"/>
        </w:rPr>
      </w:pPr>
      <w:r>
        <w:rPr>
          <w:rFonts w:hint="eastAsia" w:ascii="黑体" w:hAnsi="黑体" w:eastAsia="黑体" w:cs="黑体"/>
          <w:snapToGrid w:val="0"/>
          <w:sz w:val="28"/>
          <w:szCs w:val="28"/>
        </w:rPr>
        <w:t>（四）付款及结算方式：</w:t>
      </w:r>
      <w:r>
        <w:rPr>
          <w:rFonts w:hint="eastAsia" w:ascii="仿宋" w:hAnsi="仿宋" w:eastAsia="仿宋" w:cs="仿宋"/>
          <w:sz w:val="28"/>
          <w:szCs w:val="28"/>
        </w:rPr>
        <w:t>服务完成</w:t>
      </w:r>
      <w:r>
        <w:rPr>
          <w:rFonts w:hint="eastAsia" w:ascii="仿宋" w:hAnsi="仿宋" w:eastAsia="仿宋" w:cs="仿宋"/>
          <w:snapToGrid w:val="0"/>
          <w:sz w:val="28"/>
          <w:szCs w:val="28"/>
          <w:lang w:val="zh-CN"/>
        </w:rPr>
        <w:t>后，成交供应商按采购人要求凭国家正式发票及相关证明文件向采购人申请付款，采购人收到申请后在</w:t>
      </w:r>
      <w:r>
        <w:rPr>
          <w:rFonts w:hint="eastAsia" w:ascii="仿宋" w:hAnsi="仿宋" w:eastAsia="仿宋" w:cs="仿宋"/>
          <w:snapToGrid w:val="0"/>
          <w:sz w:val="28"/>
          <w:szCs w:val="28"/>
        </w:rPr>
        <w:t>15</w:t>
      </w:r>
      <w:r>
        <w:rPr>
          <w:rFonts w:hint="eastAsia" w:ascii="仿宋" w:hAnsi="仿宋" w:eastAsia="仿宋" w:cs="仿宋"/>
          <w:snapToGrid w:val="0"/>
          <w:sz w:val="28"/>
          <w:szCs w:val="28"/>
          <w:lang w:val="zh-CN"/>
        </w:rPr>
        <w:t>个工作日内结清全部货款。</w:t>
      </w:r>
    </w:p>
    <w:p>
      <w:pPr>
        <w:spacing w:line="520" w:lineRule="exact"/>
        <w:ind w:firstLine="560" w:firstLineChars="200"/>
        <w:rPr>
          <w:rFonts w:hint="eastAsia" w:ascii="仿宋" w:hAnsi="仿宋" w:eastAsia="仿宋" w:cs="仿宋"/>
          <w:b/>
          <w:bCs/>
          <w:sz w:val="28"/>
          <w:szCs w:val="28"/>
        </w:rPr>
      </w:pPr>
      <w:r>
        <w:rPr>
          <w:rFonts w:hint="eastAsia" w:ascii="黑体" w:hAnsi="黑体" w:eastAsia="黑体" w:cs="黑体"/>
          <w:sz w:val="28"/>
          <w:szCs w:val="28"/>
        </w:rPr>
        <w:t>（五）</w:t>
      </w:r>
      <w:r>
        <w:rPr>
          <w:rFonts w:hint="eastAsia" w:ascii="仿宋" w:hAnsi="仿宋" w:eastAsia="仿宋" w:cs="仿宋"/>
          <w:snapToGrid w:val="0"/>
          <w:sz w:val="28"/>
          <w:szCs w:val="28"/>
        </w:rPr>
        <w:t>投标供应商自愿进行踏勘项目现场以获取编制报价文件和服务所需的一切相关材料，如投标供应商因未及时踏勘现场而导致的报价缺项漏项或成交后无法供货、服务，投标供应商自行承担一切后果。供应商在踏勘现场中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spacing w:line="52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（六）验收方法及标准</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按照签订的采购合同、技术要求及标准对每一环节、标准的履约情况进行验收。验收结束后，应当出具验收书，由双方共同签署。</w:t>
      </w:r>
    </w:p>
    <w:bookmarkEnd w:id="0"/>
    <w:p>
      <w:pPr>
        <w:pStyle w:val="11"/>
        <w:spacing w:before="162" w:line="560" w:lineRule="exact"/>
        <w:ind w:firstLine="643" w:firstLineChars="200"/>
        <w:jc w:val="center"/>
        <w:rPr>
          <w:rFonts w:hint="eastAsia" w:ascii="方正小标宋简体" w:hAnsi="方正小标宋简体" w:eastAsia="方正小标宋简体" w:cs="方正小标宋简体"/>
          <w:b/>
          <w:bCs/>
          <w:color w:val="000000"/>
          <w:kern w:val="0"/>
          <w:sz w:val="32"/>
          <w:szCs w:val="32"/>
          <w:lang w:bidi="ar"/>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
    <w:panose1 w:val="00000600000000000000"/>
    <w:charset w:val="86"/>
    <w:family w:val="auto"/>
    <w:pitch w:val="default"/>
    <w:sig w:usb0="00000000" w:usb1="00000000" w:usb2="00000012" w:usb3="00000000" w:csb0="00160001" w:csb1="1203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DA07B2"/>
    <w:multiLevelType w:val="singleLevel"/>
    <w:tmpl w:val="28DA07B2"/>
    <w:lvl w:ilvl="0" w:tentative="0">
      <w:start w:val="1"/>
      <w:numFmt w:val="chineseCounting"/>
      <w:suff w:val="nothing"/>
      <w:lvlText w:val="%1、"/>
      <w:lvlJc w:val="left"/>
      <w:rPr>
        <w:rFonts w:hint="eastAsia" w:ascii="黑体" w:hAnsi="黑体" w:eastAsia="黑体" w:cs="黑体"/>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OGUzZDdjZWMzOWEzMGQwNzc2YmMxNWIzOWRiOTkifQ=="/>
  </w:docVars>
  <w:rsids>
    <w:rsidRoot w:val="00000000"/>
    <w:rsid w:val="0CAF1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next w:val="4"/>
    <w:uiPriority w:val="0"/>
    <w:pPr>
      <w:ind w:firstLine="630"/>
    </w:pPr>
    <w:rPr>
      <w:rFonts w:eastAsia="仿宋_GB2312"/>
      <w:sz w:val="28"/>
      <w:szCs w:val="20"/>
    </w:rPr>
  </w:style>
  <w:style w:type="paragraph" w:styleId="4">
    <w:name w:val="toc 2"/>
    <w:basedOn w:val="1"/>
    <w:next w:val="1"/>
    <w:semiHidden/>
    <w:uiPriority w:val="0"/>
    <w:pPr>
      <w:tabs>
        <w:tab w:val="left" w:pos="1050"/>
        <w:tab w:val="right" w:leader="dot" w:pos="8726"/>
      </w:tabs>
      <w:ind w:firstLine="210" w:firstLineChars="100"/>
    </w:pPr>
    <w:rPr>
      <w:rFonts w:ascii="宋体" w:hAnsi="宋体"/>
      <w:color w:val="000000"/>
      <w:szCs w:val="36"/>
    </w:rPr>
  </w:style>
  <w:style w:type="paragraph" w:styleId="5">
    <w:name w:val="Plain Text"/>
    <w:basedOn w:val="1"/>
    <w:next w:val="1"/>
    <w:uiPriority w:val="0"/>
    <w:rPr>
      <w:rFonts w:ascii="宋体" w:hAnsi="Courier New"/>
      <w:szCs w:val="20"/>
    </w:rPr>
  </w:style>
  <w:style w:type="paragraph" w:styleId="6">
    <w:name w:val="Body Text First Indent 2"/>
    <w:basedOn w:val="3"/>
    <w:qFormat/>
    <w:uiPriority w:val="0"/>
    <w:pPr>
      <w:ind w:left="420" w:firstLine="420" w:firstLineChars="200"/>
    </w:pPr>
  </w:style>
  <w:style w:type="character" w:customStyle="1" w:styleId="9">
    <w:name w:val="NormalCharacter"/>
    <w:semiHidden/>
    <w:qFormat/>
    <w:uiPriority w:val="0"/>
    <w:rPr>
      <w:sz w:val="24"/>
      <w:szCs w:val="24"/>
      <w:lang w:val="en-US" w:eastAsia="zh-CN" w:bidi="ar-SA"/>
    </w:rPr>
  </w:style>
  <w:style w:type="paragraph" w:customStyle="1" w:styleId="10">
    <w:name w:val="Normal Indent"/>
    <w:basedOn w:val="1"/>
    <w:qFormat/>
    <w:uiPriority w:val="0"/>
    <w:pPr>
      <w:widowControl/>
      <w:ind w:firstLine="420"/>
      <w:jc w:val="left"/>
    </w:pPr>
    <w:rPr>
      <w:rFonts w:ascii="Times New Roman" w:hAnsi="Times New Roman"/>
      <w:kern w:val="0"/>
      <w:szCs w:val="20"/>
    </w:rPr>
  </w:style>
  <w:style w:type="paragraph" w:customStyle="1" w:styleId="11">
    <w:name w:val="模板普通正文"/>
    <w:basedOn w:val="3"/>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2024-04-09T00:19:14Z</dcterms:created>
  <dc:creator>Administrator</dc:creator>
  <cp:lastModifiedBy>W西瓜味的美少女</cp:lastModifiedBy>
  <dcterms:modified xsi:type="dcterms:W3CDTF">2024-04-09T00:19:52Z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33621B528E0449D7AD5068F66E6FAD57_12</vt:lpwstr>
  </property>
</Properties>
</file>