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41E">
      <w:pPr>
        <w:pStyle w:val="3"/>
        <w:numPr>
          <w:numId w:val="0"/>
        </w:numPr>
        <w:bidi w:val="0"/>
        <w:jc w:val="center"/>
        <w:rPr>
          <w:rFonts w:hint="eastAsia" w:ascii="仿宋" w:hAnsi="仿宋" w:eastAsia="仿宋" w:cs="仿宋"/>
          <w:b/>
          <w:bCs/>
          <w:color w:val="1D1D20"/>
          <w:kern w:val="0"/>
          <w:sz w:val="32"/>
          <w:szCs w:val="32"/>
          <w:highlight w:val="none"/>
          <w:lang w:bidi="ar"/>
        </w:rPr>
      </w:pPr>
      <w:bookmarkStart w:id="2" w:name="_GoBack"/>
      <w:bookmarkEnd w:id="2"/>
      <w:bookmarkStart w:id="0" w:name="_Toc30580"/>
      <w:r>
        <w:rPr>
          <w:rFonts w:hint="eastAsia" w:ascii="仿宋" w:hAnsi="仿宋" w:eastAsia="仿宋" w:cs="仿宋"/>
          <w:b/>
          <w:bCs/>
          <w:color w:val="1D1D20"/>
          <w:kern w:val="0"/>
          <w:sz w:val="32"/>
          <w:szCs w:val="32"/>
          <w:highlight w:val="none"/>
          <w:lang w:bidi="ar"/>
        </w:rPr>
        <w:t>采购需求</w:t>
      </w:r>
      <w:bookmarkEnd w:id="0"/>
    </w:p>
    <w:p w14:paraId="4452DC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highlight w:val="none"/>
          <w:lang w:val="zh-CN" w:eastAsia="zh-CN"/>
        </w:rPr>
      </w:pP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zh-CN" w:eastAsia="zh-CN"/>
        </w:rPr>
        <w:t>项目概况</w:t>
      </w:r>
    </w:p>
    <w:p w14:paraId="303E9D4E">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安庆市疾病预防控制中心承担全市免疫规划疫苗和辖区非免疫规划疫苗的计划与供应。根据《疫苗管理法》和《预防接种工作规范》等相关规定，为保证冷库机组设备的正常运行、温度符合国家规定要求，需对用于储存疫苗的2间冷库、4台冷藏车、10个保温箱(冷藏箱)及2台医用低温冰箱冷库进行定期维护保养、校准服务。同时为便于实时监测相关设备温度，需对储存疫苗的2间冷库、4台冷藏车、2台医用低温冰箱采购冷链温度监测系统。</w:t>
      </w:r>
    </w:p>
    <w:p w14:paraId="2BED85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二、相关要求</w:t>
      </w:r>
    </w:p>
    <w:p w14:paraId="3CAAD443">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1.</w:t>
      </w:r>
      <w:r>
        <w:rPr>
          <w:rFonts w:hint="eastAsia" w:ascii="仿宋" w:hAnsi="仿宋" w:eastAsia="仿宋" w:cs="Times New Roman"/>
          <w:sz w:val="28"/>
          <w:szCs w:val="28"/>
          <w:lang w:val="en-US" w:eastAsia="zh-CN"/>
        </w:rPr>
        <w:t>具有校准实验室计量标准考核证书并通过国家CNAS实验室认可证书</w:t>
      </w:r>
      <w:r>
        <w:rPr>
          <w:rFonts w:hint="eastAsia" w:ascii="仿宋" w:hAnsi="仿宋" w:eastAsia="仿宋" w:cs="Times New Roman"/>
          <w:b/>
          <w:bCs/>
          <w:sz w:val="28"/>
          <w:szCs w:val="28"/>
          <w:lang w:val="en-US" w:eastAsia="zh-CN"/>
        </w:rPr>
        <w:t>（供应商自有或生产厂商授权）</w:t>
      </w:r>
      <w:r>
        <w:rPr>
          <w:rFonts w:hint="eastAsia" w:ascii="仿宋" w:hAnsi="仿宋" w:eastAsia="仿宋" w:cs="仿宋"/>
          <w:snapToGrid w:val="0"/>
          <w:color w:val="1D1D20"/>
          <w:kern w:val="2"/>
          <w:sz w:val="28"/>
          <w:szCs w:val="28"/>
          <w:highlight w:val="none"/>
          <w:lang w:val="en-US" w:eastAsia="zh-CN" w:bidi="ar-SA"/>
        </w:rPr>
        <w:t>；</w:t>
      </w:r>
    </w:p>
    <w:p w14:paraId="4CA1CB4B">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2.供应商具备ISO9001质量管理体系认证书ISO14001、环境管理体系认证证书ISO45001职业健康安全管理体系认证证书，在有效期内（体系认证内容覆盖的范围包括：冷链验证及技术服务），确保验证数据真实有效；</w:t>
      </w:r>
    </w:p>
    <w:p w14:paraId="5EC71894">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（3）为确保冷库运行，供应商需具有类似冷库维护经验，提供相关冷库维护证明。</w:t>
      </w:r>
    </w:p>
    <w:p w14:paraId="7E111FC3">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napToGrid w:val="0"/>
          <w:color w:val="1D1D20"/>
          <w:kern w:val="2"/>
          <w:sz w:val="28"/>
          <w:szCs w:val="28"/>
          <w:highlight w:val="none"/>
          <w:lang w:val="en-US" w:eastAsia="zh-CN" w:bidi="ar-SA"/>
        </w:rPr>
      </w:pPr>
      <w:r>
        <w:rPr>
          <w:rFonts w:hint="eastAsia" w:ascii="仿宋" w:hAnsi="仿宋" w:eastAsia="仿宋" w:cs="仿宋"/>
          <w:b/>
          <w:bCs/>
          <w:snapToGrid w:val="0"/>
          <w:color w:val="1D1D20"/>
          <w:kern w:val="2"/>
          <w:sz w:val="28"/>
          <w:szCs w:val="28"/>
          <w:highlight w:val="none"/>
          <w:lang w:val="en-US" w:eastAsia="zh-CN" w:bidi="ar-SA"/>
        </w:rPr>
        <w:t>三、采购需求一览表及技术要求</w:t>
      </w:r>
    </w:p>
    <w:tbl>
      <w:tblPr>
        <w:tblStyle w:val="5"/>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997"/>
        <w:gridCol w:w="6298"/>
        <w:gridCol w:w="668"/>
      </w:tblGrid>
      <w:tr w14:paraId="47B0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14:paraId="7FB33E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038" w:type="dxa"/>
            <w:tcBorders>
              <w:top w:val="single" w:color="000000" w:sz="8" w:space="0"/>
              <w:left w:val="nil"/>
              <w:bottom w:val="single" w:color="000000" w:sz="8" w:space="0"/>
              <w:right w:val="single" w:color="000000" w:sz="8" w:space="0"/>
            </w:tcBorders>
            <w:noWrap w:val="0"/>
            <w:vAlign w:val="center"/>
          </w:tcPr>
          <w:p w14:paraId="6786D5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7008" w:type="dxa"/>
            <w:tcBorders>
              <w:top w:val="single" w:color="000000" w:sz="8" w:space="0"/>
              <w:left w:val="nil"/>
              <w:bottom w:val="single" w:color="000000" w:sz="8" w:space="0"/>
              <w:right w:val="single" w:color="000000" w:sz="8" w:space="0"/>
            </w:tcBorders>
            <w:noWrap w:val="0"/>
            <w:vAlign w:val="center"/>
          </w:tcPr>
          <w:p w14:paraId="0E0647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技术要求</w:t>
            </w:r>
          </w:p>
        </w:tc>
        <w:tc>
          <w:tcPr>
            <w:tcW w:w="0" w:type="auto"/>
            <w:tcBorders>
              <w:top w:val="single" w:color="000000" w:sz="8" w:space="0"/>
              <w:left w:val="nil"/>
              <w:bottom w:val="single" w:color="000000" w:sz="8" w:space="0"/>
              <w:right w:val="single" w:color="000000" w:sz="8" w:space="0"/>
            </w:tcBorders>
            <w:noWrap w:val="0"/>
            <w:vAlign w:val="center"/>
          </w:tcPr>
          <w:p w14:paraId="737C0A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4A08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14:paraId="2922E8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8" w:type="dxa"/>
            <w:vMerge w:val="restart"/>
            <w:tcBorders>
              <w:top w:val="nil"/>
              <w:left w:val="nil"/>
              <w:bottom w:val="single" w:color="000000" w:sz="8" w:space="0"/>
              <w:right w:val="single" w:color="000000" w:sz="8" w:space="0"/>
            </w:tcBorders>
            <w:noWrap w:val="0"/>
            <w:vAlign w:val="center"/>
          </w:tcPr>
          <w:p w14:paraId="4F01D8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冷库、冷藏车、保温箱验证服务</w:t>
            </w:r>
          </w:p>
        </w:tc>
        <w:tc>
          <w:tcPr>
            <w:tcW w:w="7008" w:type="dxa"/>
            <w:tcBorders>
              <w:top w:val="nil"/>
              <w:left w:val="nil"/>
              <w:bottom w:val="nil"/>
              <w:right w:val="single" w:color="000000" w:sz="8" w:space="0"/>
            </w:tcBorders>
            <w:noWrap w:val="0"/>
            <w:vAlign w:val="top"/>
          </w:tcPr>
          <w:p w14:paraId="165852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冷库维护保养</w:t>
            </w:r>
            <w:r>
              <w:rPr>
                <w:rStyle w:val="7"/>
                <w:rFonts w:hint="eastAsia" w:ascii="仿宋" w:hAnsi="仿宋" w:eastAsia="仿宋" w:cs="仿宋"/>
                <w:sz w:val="24"/>
                <w:szCs w:val="24"/>
                <w:highlight w:val="none"/>
                <w:lang w:val="en-US" w:eastAsia="zh-CN" w:bidi="ar"/>
              </w:rPr>
              <w:t>包含以下</w:t>
            </w:r>
            <w:r>
              <w:rPr>
                <w:rStyle w:val="8"/>
                <w:rFonts w:hint="eastAsia" w:ascii="仿宋" w:hAnsi="仿宋" w:eastAsia="仿宋" w:cs="仿宋"/>
                <w:sz w:val="24"/>
                <w:szCs w:val="24"/>
                <w:highlight w:val="none"/>
                <w:lang w:val="en-US" w:eastAsia="zh-CN" w:bidi="ar"/>
              </w:rPr>
              <w:t>内容：</w:t>
            </w:r>
          </w:p>
        </w:tc>
        <w:tc>
          <w:tcPr>
            <w:tcW w:w="0" w:type="auto"/>
            <w:vMerge w:val="restart"/>
            <w:tcBorders>
              <w:top w:val="nil"/>
              <w:left w:val="nil"/>
              <w:bottom w:val="single" w:color="000000" w:sz="8" w:space="0"/>
              <w:right w:val="single" w:color="000000" w:sz="8" w:space="0"/>
            </w:tcBorders>
            <w:noWrap w:val="0"/>
            <w:vAlign w:val="center"/>
          </w:tcPr>
          <w:p w14:paraId="12FB4DC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06B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AF7189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7CD7A5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E2E8C07">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一．冷库维护保养</w:t>
            </w:r>
          </w:p>
        </w:tc>
        <w:tc>
          <w:tcPr>
            <w:tcW w:w="0" w:type="auto"/>
            <w:vMerge w:val="continue"/>
            <w:tcBorders>
              <w:top w:val="nil"/>
              <w:left w:val="nil"/>
              <w:bottom w:val="single" w:color="000000" w:sz="8" w:space="0"/>
              <w:right w:val="single" w:color="000000" w:sz="8" w:space="0"/>
            </w:tcBorders>
            <w:noWrap w:val="0"/>
            <w:vAlign w:val="center"/>
          </w:tcPr>
          <w:p w14:paraId="0ACBF58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DF7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A49DB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4F8D04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CABB16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1.日常维护保养服务，并做纸质维保记录归档使用；</w:t>
            </w:r>
          </w:p>
        </w:tc>
        <w:tc>
          <w:tcPr>
            <w:tcW w:w="0" w:type="auto"/>
            <w:vMerge w:val="continue"/>
            <w:tcBorders>
              <w:top w:val="nil"/>
              <w:left w:val="nil"/>
              <w:bottom w:val="single" w:color="000000" w:sz="8" w:space="0"/>
              <w:right w:val="single" w:color="000000" w:sz="8" w:space="0"/>
            </w:tcBorders>
            <w:noWrap w:val="0"/>
            <w:vAlign w:val="center"/>
          </w:tcPr>
          <w:p w14:paraId="4B64061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6CAB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D71E9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E0A5E6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B0F7D3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2.日常维修，维修记录归档；</w:t>
            </w:r>
          </w:p>
        </w:tc>
        <w:tc>
          <w:tcPr>
            <w:tcW w:w="0" w:type="auto"/>
            <w:vMerge w:val="continue"/>
            <w:tcBorders>
              <w:top w:val="nil"/>
              <w:left w:val="nil"/>
              <w:bottom w:val="single" w:color="000000" w:sz="8" w:space="0"/>
              <w:right w:val="single" w:color="000000" w:sz="8" w:space="0"/>
            </w:tcBorders>
            <w:noWrap w:val="0"/>
            <w:vAlign w:val="center"/>
          </w:tcPr>
          <w:p w14:paraId="70281C0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590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B0005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869EEF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E7EAE0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3.维保方需在合同期内提供全年24小时维保服务和投诉电话，紧急情况下，接到通知后，技术维修人员在2小时内到达冷库故障现场进行抢修。（提供承诺书，如未在规定时间到达，疫苗损失由成交供应商承担）；</w:t>
            </w:r>
          </w:p>
        </w:tc>
        <w:tc>
          <w:tcPr>
            <w:tcW w:w="0" w:type="auto"/>
            <w:vMerge w:val="continue"/>
            <w:tcBorders>
              <w:top w:val="nil"/>
              <w:left w:val="nil"/>
              <w:bottom w:val="single" w:color="000000" w:sz="8" w:space="0"/>
              <w:right w:val="single" w:color="000000" w:sz="8" w:space="0"/>
            </w:tcBorders>
            <w:noWrap w:val="0"/>
            <w:vAlign w:val="center"/>
          </w:tcPr>
          <w:p w14:paraId="321CC8B4">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AAC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B6C539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807F85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9DBB4C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4.应急状态下需要整体转移疫苗要提供相应的备用库房及运输车辆，并在冷库恢复正常后拉回。中途运输及储存温度记录一并提供归档；</w:t>
            </w:r>
          </w:p>
        </w:tc>
        <w:tc>
          <w:tcPr>
            <w:tcW w:w="0" w:type="auto"/>
            <w:vMerge w:val="continue"/>
            <w:tcBorders>
              <w:top w:val="nil"/>
              <w:left w:val="nil"/>
              <w:bottom w:val="single" w:color="000000" w:sz="8" w:space="0"/>
              <w:right w:val="single" w:color="000000" w:sz="8" w:space="0"/>
            </w:tcBorders>
            <w:noWrap w:val="0"/>
            <w:vAlign w:val="center"/>
          </w:tcPr>
          <w:p w14:paraId="408C336F">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66F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76131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F49EB3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681C12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检查机组运行情况，记录分析运行情况；加注润滑油；检查膨胀阀工作情况；检查电控系统动作程序；检查安全保护开关整定情况；检查是否有异常噪音及震动；检查清理控制箱；制冷剂及冷冻油的添加；发电机组检查保养等；</w:t>
            </w:r>
          </w:p>
        </w:tc>
        <w:tc>
          <w:tcPr>
            <w:tcW w:w="0" w:type="auto"/>
            <w:vMerge w:val="continue"/>
            <w:tcBorders>
              <w:top w:val="nil"/>
              <w:left w:val="nil"/>
              <w:bottom w:val="single" w:color="000000" w:sz="8" w:space="0"/>
              <w:right w:val="single" w:color="000000" w:sz="8" w:space="0"/>
            </w:tcBorders>
            <w:noWrap w:val="0"/>
            <w:vAlign w:val="center"/>
          </w:tcPr>
          <w:p w14:paraId="41B46952">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BEC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E15713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0147110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3D4A1F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6.每年维护保养不少于7次，时间分别为：一个季度进行一次上门维保服务，五一/国庆/春节长假日前进行一次冷库设施设备的全面检修与维护，有问题及时解决；</w:t>
            </w:r>
          </w:p>
        </w:tc>
        <w:tc>
          <w:tcPr>
            <w:tcW w:w="0" w:type="auto"/>
            <w:vMerge w:val="continue"/>
            <w:tcBorders>
              <w:top w:val="nil"/>
              <w:left w:val="nil"/>
              <w:bottom w:val="single" w:color="000000" w:sz="8" w:space="0"/>
              <w:right w:val="single" w:color="000000" w:sz="8" w:space="0"/>
            </w:tcBorders>
            <w:noWrap w:val="0"/>
            <w:vAlign w:val="center"/>
          </w:tcPr>
          <w:p w14:paraId="2558EFA4">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77A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D4A3B1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AF0D9D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3FF2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7.专业技术人员（硬件需提供水电工等相关专业证书复印件）；</w:t>
            </w:r>
          </w:p>
        </w:tc>
        <w:tc>
          <w:tcPr>
            <w:tcW w:w="0" w:type="auto"/>
            <w:vMerge w:val="continue"/>
            <w:tcBorders>
              <w:top w:val="nil"/>
              <w:left w:val="nil"/>
              <w:bottom w:val="single" w:color="000000" w:sz="8" w:space="0"/>
              <w:right w:val="single" w:color="000000" w:sz="8" w:space="0"/>
            </w:tcBorders>
            <w:noWrap w:val="0"/>
            <w:vAlign w:val="center"/>
          </w:tcPr>
          <w:p w14:paraId="7A34D62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22D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E40309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0F27A4ED">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1C42E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r>
              <w:rPr>
                <w:rStyle w:val="9"/>
                <w:rFonts w:hint="eastAsia" w:ascii="仿宋" w:hAnsi="仿宋" w:eastAsia="仿宋" w:cs="仿宋"/>
                <w:color w:val="auto"/>
                <w:sz w:val="24"/>
                <w:szCs w:val="24"/>
                <w:highlight w:val="none"/>
                <w:shd w:val="clear" w:color="auto" w:fill="FFFF00"/>
                <w:lang w:val="en-US" w:eastAsia="zh-CN" w:bidi="ar"/>
              </w:rPr>
              <w:t>采购单位遇到突发事件1小时内响应并提供解决方案，4小时内到达现场进行处置。</w:t>
            </w:r>
          </w:p>
        </w:tc>
        <w:tc>
          <w:tcPr>
            <w:tcW w:w="0" w:type="auto"/>
            <w:vMerge w:val="continue"/>
            <w:tcBorders>
              <w:top w:val="nil"/>
              <w:left w:val="nil"/>
              <w:bottom w:val="single" w:color="000000" w:sz="8" w:space="0"/>
              <w:right w:val="single" w:color="000000" w:sz="8" w:space="0"/>
            </w:tcBorders>
            <w:noWrap w:val="0"/>
            <w:vAlign w:val="center"/>
          </w:tcPr>
          <w:p w14:paraId="74A03F42">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6AF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4CEAA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049F484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5CC25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验证项目包含以下内容：</w:t>
            </w:r>
          </w:p>
        </w:tc>
        <w:tc>
          <w:tcPr>
            <w:tcW w:w="0" w:type="auto"/>
            <w:vMerge w:val="continue"/>
            <w:tcBorders>
              <w:top w:val="nil"/>
              <w:left w:val="nil"/>
              <w:bottom w:val="single" w:color="000000" w:sz="8" w:space="0"/>
              <w:right w:val="single" w:color="000000" w:sz="8" w:space="0"/>
            </w:tcBorders>
            <w:noWrap w:val="0"/>
            <w:vAlign w:val="center"/>
          </w:tcPr>
          <w:p w14:paraId="62113D4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EAC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6EB6F0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7D7A89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3D98969">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二、冷库验证</w:t>
            </w:r>
          </w:p>
        </w:tc>
        <w:tc>
          <w:tcPr>
            <w:tcW w:w="0" w:type="auto"/>
            <w:vMerge w:val="continue"/>
            <w:tcBorders>
              <w:top w:val="nil"/>
              <w:left w:val="nil"/>
              <w:bottom w:val="single" w:color="000000" w:sz="8" w:space="0"/>
              <w:right w:val="single" w:color="000000" w:sz="8" w:space="0"/>
            </w:tcBorders>
            <w:noWrap w:val="0"/>
            <w:vAlign w:val="center"/>
          </w:tcPr>
          <w:p w14:paraId="2B24FCD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741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CA6567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AA500C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18D89E5">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14:paraId="4517BC7F">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16F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3348B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0F6556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0579F9">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14:paraId="5DA323B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D45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FB023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0384EB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6B1117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14:paraId="2F6A7A6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6AE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252240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EB796B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92DA77">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4.开门作业对库房温度分布及药品储存的影响；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14:paraId="3756A18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9A7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405B6C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11A3DA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AA67187">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5.确定设备故障或外部供电中断的状况下，库房保温性能及变化趋势分析；</w:t>
            </w:r>
          </w:p>
        </w:tc>
        <w:tc>
          <w:tcPr>
            <w:tcW w:w="0" w:type="auto"/>
            <w:vMerge w:val="continue"/>
            <w:tcBorders>
              <w:top w:val="nil"/>
              <w:left w:val="nil"/>
              <w:bottom w:val="single" w:color="000000" w:sz="8" w:space="0"/>
              <w:right w:val="single" w:color="000000" w:sz="8" w:space="0"/>
            </w:tcBorders>
            <w:noWrap w:val="0"/>
            <w:vAlign w:val="center"/>
          </w:tcPr>
          <w:p w14:paraId="39BDBBA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9E3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225A29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8CC836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3E3A41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14:paraId="6943923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BB6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13409C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E1F30B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FEBC9B">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7.在新建库房初次使用前或改造后重新使用前，进行空载及满载验证；</w:t>
            </w:r>
          </w:p>
        </w:tc>
        <w:tc>
          <w:tcPr>
            <w:tcW w:w="0" w:type="auto"/>
            <w:vMerge w:val="continue"/>
            <w:tcBorders>
              <w:top w:val="nil"/>
              <w:left w:val="nil"/>
              <w:bottom w:val="single" w:color="000000" w:sz="8" w:space="0"/>
              <w:right w:val="single" w:color="000000" w:sz="8" w:space="0"/>
            </w:tcBorders>
            <w:noWrap w:val="0"/>
            <w:vAlign w:val="center"/>
          </w:tcPr>
          <w:p w14:paraId="778FC8B2">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104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EC44D4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DF19EA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9CA6B09">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14:paraId="7DA51AC3">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56B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6220B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E9C8E7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6D2840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二、冷藏车</w:t>
            </w:r>
          </w:p>
        </w:tc>
        <w:tc>
          <w:tcPr>
            <w:tcW w:w="0" w:type="auto"/>
            <w:vMerge w:val="continue"/>
            <w:tcBorders>
              <w:top w:val="nil"/>
              <w:left w:val="nil"/>
              <w:bottom w:val="single" w:color="000000" w:sz="8" w:space="0"/>
              <w:right w:val="single" w:color="000000" w:sz="8" w:space="0"/>
            </w:tcBorders>
            <w:noWrap w:val="0"/>
            <w:vAlign w:val="center"/>
          </w:tcPr>
          <w:p w14:paraId="17F0394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8AB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72F4A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85CDDD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68803B9">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14:paraId="04E7732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F2C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6061A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E83CDB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ADDB8F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14:paraId="6D3C1E34">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FF2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A36B12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CE440E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54557DD">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14:paraId="701E7D88">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0D4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ECED7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EC0061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564C9FD">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4.开门作业对车辆温度分布及药品储存的影响；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14:paraId="105B2EF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50C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23641A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BB8FAC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D1A1167">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5.确定设备故障或外部供电中断的状况下，车辆保温性能及变化趋势分析；</w:t>
            </w:r>
          </w:p>
        </w:tc>
        <w:tc>
          <w:tcPr>
            <w:tcW w:w="0" w:type="auto"/>
            <w:vMerge w:val="continue"/>
            <w:tcBorders>
              <w:top w:val="nil"/>
              <w:left w:val="nil"/>
              <w:bottom w:val="single" w:color="000000" w:sz="8" w:space="0"/>
              <w:right w:val="single" w:color="000000" w:sz="8" w:space="0"/>
            </w:tcBorders>
            <w:noWrap w:val="0"/>
            <w:vAlign w:val="center"/>
          </w:tcPr>
          <w:p w14:paraId="19ECCD56">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9C0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D5468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D4D6A9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9882AAA">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14:paraId="7BA97A2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4C0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9D49CD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48A43E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D882FA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14:paraId="72F35A5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99C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A0BC5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712D58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64CBF94">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三、保温箱</w:t>
            </w:r>
          </w:p>
        </w:tc>
        <w:tc>
          <w:tcPr>
            <w:tcW w:w="0" w:type="auto"/>
            <w:vMerge w:val="continue"/>
            <w:tcBorders>
              <w:top w:val="nil"/>
              <w:left w:val="nil"/>
              <w:bottom w:val="single" w:color="000000" w:sz="8" w:space="0"/>
              <w:right w:val="single" w:color="000000" w:sz="8" w:space="0"/>
            </w:tcBorders>
            <w:noWrap w:val="0"/>
            <w:vAlign w:val="center"/>
          </w:tcPr>
          <w:p w14:paraId="7CFDD886">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DBF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F2F91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841F95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9F99029">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1.箱内温度分布特性的测试与分析，分析箱体内温度变化及趋势；</w:t>
            </w:r>
          </w:p>
        </w:tc>
        <w:tc>
          <w:tcPr>
            <w:tcW w:w="0" w:type="auto"/>
            <w:vMerge w:val="continue"/>
            <w:tcBorders>
              <w:top w:val="nil"/>
              <w:left w:val="nil"/>
              <w:bottom w:val="single" w:color="000000" w:sz="8" w:space="0"/>
              <w:right w:val="single" w:color="000000" w:sz="8" w:space="0"/>
            </w:tcBorders>
            <w:noWrap w:val="0"/>
            <w:vAlign w:val="center"/>
          </w:tcPr>
          <w:p w14:paraId="58CF67EF">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978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64C93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3B2F1F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7D761B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2.蓄冷剂配备使用的条件测试；</w:t>
            </w:r>
          </w:p>
        </w:tc>
        <w:tc>
          <w:tcPr>
            <w:tcW w:w="0" w:type="auto"/>
            <w:vMerge w:val="continue"/>
            <w:tcBorders>
              <w:top w:val="nil"/>
              <w:left w:val="nil"/>
              <w:bottom w:val="single" w:color="000000" w:sz="8" w:space="0"/>
              <w:right w:val="single" w:color="000000" w:sz="8" w:space="0"/>
            </w:tcBorders>
            <w:noWrap w:val="0"/>
            <w:vAlign w:val="center"/>
          </w:tcPr>
          <w:p w14:paraId="2785FBC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954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DD85F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AF3156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8340C0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3.温度自动监测设备放置位置确认；</w:t>
            </w:r>
          </w:p>
        </w:tc>
        <w:tc>
          <w:tcPr>
            <w:tcW w:w="0" w:type="auto"/>
            <w:vMerge w:val="continue"/>
            <w:tcBorders>
              <w:top w:val="nil"/>
              <w:left w:val="nil"/>
              <w:bottom w:val="single" w:color="000000" w:sz="8" w:space="0"/>
              <w:right w:val="single" w:color="000000" w:sz="8" w:space="0"/>
            </w:tcBorders>
            <w:noWrap w:val="0"/>
            <w:vAlign w:val="center"/>
          </w:tcPr>
          <w:p w14:paraId="157E0755">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9F3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C30F3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39D0D5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94B0624">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4.开箱作业对箱内温度分布及变化的影响；</w:t>
            </w:r>
          </w:p>
        </w:tc>
        <w:tc>
          <w:tcPr>
            <w:tcW w:w="0" w:type="auto"/>
            <w:vMerge w:val="continue"/>
            <w:tcBorders>
              <w:top w:val="nil"/>
              <w:left w:val="nil"/>
              <w:bottom w:val="single" w:color="000000" w:sz="8" w:space="0"/>
              <w:right w:val="single" w:color="000000" w:sz="8" w:space="0"/>
            </w:tcBorders>
            <w:noWrap w:val="0"/>
            <w:vAlign w:val="center"/>
          </w:tcPr>
          <w:p w14:paraId="1DAB39DA">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478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D633D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5588E4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745494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5.高温或低温等极端外部环境条件下的保温效果评估；</w:t>
            </w:r>
          </w:p>
        </w:tc>
        <w:tc>
          <w:tcPr>
            <w:tcW w:w="0" w:type="auto"/>
            <w:vMerge w:val="continue"/>
            <w:tcBorders>
              <w:top w:val="nil"/>
              <w:left w:val="nil"/>
              <w:bottom w:val="single" w:color="000000" w:sz="8" w:space="0"/>
              <w:right w:val="single" w:color="000000" w:sz="8" w:space="0"/>
            </w:tcBorders>
            <w:noWrap w:val="0"/>
            <w:vAlign w:val="center"/>
          </w:tcPr>
          <w:p w14:paraId="754EA7D5">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6EA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93ED7D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21E3F6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9C07E5">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6.运输最长时限验证。</w:t>
            </w:r>
          </w:p>
        </w:tc>
        <w:tc>
          <w:tcPr>
            <w:tcW w:w="0" w:type="auto"/>
            <w:vMerge w:val="continue"/>
            <w:tcBorders>
              <w:top w:val="nil"/>
              <w:left w:val="nil"/>
              <w:bottom w:val="single" w:color="000000" w:sz="8" w:space="0"/>
              <w:right w:val="single" w:color="000000" w:sz="8" w:space="0"/>
            </w:tcBorders>
            <w:noWrap w:val="0"/>
            <w:vAlign w:val="center"/>
          </w:tcPr>
          <w:p w14:paraId="72D6560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2A5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D26356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7E4856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DAEF9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四、冷库温湿度记录仪</w:t>
            </w:r>
          </w:p>
        </w:tc>
        <w:tc>
          <w:tcPr>
            <w:tcW w:w="0" w:type="auto"/>
            <w:vMerge w:val="continue"/>
            <w:tcBorders>
              <w:top w:val="nil"/>
              <w:left w:val="nil"/>
              <w:bottom w:val="single" w:color="000000" w:sz="8" w:space="0"/>
              <w:right w:val="single" w:color="000000" w:sz="8" w:space="0"/>
            </w:tcBorders>
            <w:noWrap w:val="0"/>
            <w:vAlign w:val="center"/>
          </w:tcPr>
          <w:p w14:paraId="0948D60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F76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39D07B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DB9B2C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ED270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1.采用不小于2英寸TFT彩色显示屏。屏幕显示内容：通道信息、传感器温湿度值、环境温湿度值、日期、时间、信号强度、锂电池电量、报警开关状态、报警状态。</w:t>
            </w:r>
            <w:r>
              <w:rPr>
                <w:rStyle w:val="10"/>
                <w:rFonts w:hint="eastAsia" w:ascii="仿宋" w:hAnsi="仿宋" w:eastAsia="仿宋" w:cs="仿宋"/>
                <w:sz w:val="24"/>
                <w:szCs w:val="24"/>
                <w:highlight w:val="none"/>
                <w:shd w:val="clear" w:color="auto" w:fill="FFFF00"/>
                <w:lang w:val="en-US" w:eastAsia="zh-CN" w:bidi="ar"/>
              </w:rPr>
              <w:t>安装固定不得破坏冷库、冰箱等自身的密封性；</w:t>
            </w:r>
          </w:p>
        </w:tc>
        <w:tc>
          <w:tcPr>
            <w:tcW w:w="0" w:type="auto"/>
            <w:vMerge w:val="continue"/>
            <w:tcBorders>
              <w:top w:val="nil"/>
              <w:left w:val="nil"/>
              <w:bottom w:val="single" w:color="000000" w:sz="8" w:space="0"/>
              <w:right w:val="single" w:color="000000" w:sz="8" w:space="0"/>
            </w:tcBorders>
            <w:noWrap w:val="0"/>
            <w:vAlign w:val="center"/>
          </w:tcPr>
          <w:p w14:paraId="3B2E09CF">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503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72FA78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55AB30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AA5D05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2、通讯方式：GPRS无线通讯+WIFI通讯两种同时互补兼容保证数据通讯的稳定传输，可兼容2个以上运营商，设备自带联网卡；</w:t>
            </w:r>
          </w:p>
        </w:tc>
        <w:tc>
          <w:tcPr>
            <w:tcW w:w="0" w:type="auto"/>
            <w:vMerge w:val="continue"/>
            <w:tcBorders>
              <w:top w:val="nil"/>
              <w:left w:val="nil"/>
              <w:bottom w:val="single" w:color="000000" w:sz="8" w:space="0"/>
              <w:right w:val="single" w:color="000000" w:sz="8" w:space="0"/>
            </w:tcBorders>
            <w:noWrap w:val="0"/>
            <w:vAlign w:val="center"/>
          </w:tcPr>
          <w:p w14:paraId="12D969F6">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E04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FF6C1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8A7B09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A74826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shd w:val="clear" w:color="auto" w:fill="FFFF00"/>
                <w:lang w:val="en-US" w:eastAsia="zh-CN" w:bidi="ar"/>
              </w:rPr>
              <w:t>3.</w:t>
            </w:r>
            <w:r>
              <w:rPr>
                <w:rStyle w:val="10"/>
                <w:rFonts w:hint="eastAsia" w:ascii="仿宋" w:hAnsi="仿宋" w:eastAsia="仿宋" w:cs="仿宋"/>
                <w:sz w:val="24"/>
                <w:szCs w:val="24"/>
                <w:highlight w:val="none"/>
                <w:shd w:val="clear" w:color="auto" w:fill="FFFF00"/>
                <w:lang w:val="en-US" w:eastAsia="zh-CN" w:bidi="ar"/>
              </w:rPr>
              <w:t>根据采购人要求，在温度异常时提供短信及语音电话预警；</w:t>
            </w:r>
          </w:p>
        </w:tc>
        <w:tc>
          <w:tcPr>
            <w:tcW w:w="0" w:type="auto"/>
            <w:vMerge w:val="continue"/>
            <w:tcBorders>
              <w:top w:val="nil"/>
              <w:left w:val="nil"/>
              <w:bottom w:val="single" w:color="000000" w:sz="8" w:space="0"/>
              <w:right w:val="single" w:color="000000" w:sz="8" w:space="0"/>
            </w:tcBorders>
            <w:noWrap w:val="0"/>
            <w:vAlign w:val="center"/>
          </w:tcPr>
          <w:p w14:paraId="4C833252">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736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C7A1B1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F98956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929D10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4.具有液晶显示，可显示实时温（湿）度、电池电量、数据发送状态，实时时钟等信息（需提供实物照片证明材料）；</w:t>
            </w:r>
          </w:p>
        </w:tc>
        <w:tc>
          <w:tcPr>
            <w:tcW w:w="0" w:type="auto"/>
            <w:vMerge w:val="continue"/>
            <w:tcBorders>
              <w:top w:val="nil"/>
              <w:left w:val="nil"/>
              <w:bottom w:val="single" w:color="000000" w:sz="8" w:space="0"/>
              <w:right w:val="single" w:color="000000" w:sz="8" w:space="0"/>
            </w:tcBorders>
            <w:noWrap w:val="0"/>
            <w:vAlign w:val="center"/>
          </w:tcPr>
          <w:p w14:paraId="409D47B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118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C1C2B8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5C146B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single" w:color="000000" w:sz="8" w:space="0"/>
              <w:right w:val="single" w:color="000000" w:sz="8" w:space="0"/>
            </w:tcBorders>
            <w:noWrap w:val="0"/>
            <w:vAlign w:val="top"/>
          </w:tcPr>
          <w:p w14:paraId="1B6CC3F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r>
              <w:rPr>
                <w:rStyle w:val="10"/>
                <w:rFonts w:hint="eastAsia" w:ascii="仿宋" w:hAnsi="仿宋" w:eastAsia="仿宋" w:cs="仿宋"/>
                <w:sz w:val="24"/>
                <w:szCs w:val="24"/>
                <w:highlight w:val="none"/>
                <w:shd w:val="clear" w:color="auto" w:fill="FFFF00"/>
                <w:lang w:val="en-US" w:eastAsia="zh-CN" w:bidi="ar"/>
              </w:rPr>
              <w:t>冷链温度设备安装后可以实现冷库、冷藏车、保温箱的监测数据统一在同一温湿度监测管理预警平台。</w:t>
            </w:r>
          </w:p>
        </w:tc>
        <w:tc>
          <w:tcPr>
            <w:tcW w:w="0" w:type="auto"/>
            <w:vMerge w:val="continue"/>
            <w:tcBorders>
              <w:top w:val="nil"/>
              <w:left w:val="nil"/>
              <w:bottom w:val="single" w:color="000000" w:sz="8" w:space="0"/>
              <w:right w:val="single" w:color="000000" w:sz="8" w:space="0"/>
            </w:tcBorders>
            <w:noWrap w:val="0"/>
            <w:vAlign w:val="center"/>
          </w:tcPr>
          <w:p w14:paraId="61EA5553">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078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restart"/>
            <w:tcBorders>
              <w:top w:val="nil"/>
              <w:left w:val="single" w:color="000000" w:sz="8" w:space="0"/>
              <w:bottom w:val="single" w:color="000000" w:sz="8" w:space="0"/>
              <w:right w:val="single" w:color="000000" w:sz="8" w:space="0"/>
            </w:tcBorders>
            <w:noWrap w:val="0"/>
            <w:vAlign w:val="center"/>
          </w:tcPr>
          <w:p w14:paraId="677B8A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说明</w:t>
            </w:r>
          </w:p>
        </w:tc>
        <w:tc>
          <w:tcPr>
            <w:tcW w:w="7690" w:type="dxa"/>
            <w:gridSpan w:val="2"/>
            <w:tcBorders>
              <w:top w:val="nil"/>
              <w:left w:val="nil"/>
              <w:bottom w:val="nil"/>
              <w:right w:val="single" w:color="000000" w:sz="8" w:space="0"/>
            </w:tcBorders>
            <w:noWrap w:val="0"/>
            <w:vAlign w:val="center"/>
          </w:tcPr>
          <w:p w14:paraId="375380F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1.报价方须对所报价包内所有服务内容进行报价，否则视为无效报价。</w:t>
            </w:r>
          </w:p>
        </w:tc>
      </w:tr>
      <w:tr w14:paraId="755E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14:paraId="768CEF0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7690" w:type="dxa"/>
            <w:gridSpan w:val="2"/>
            <w:tcBorders>
              <w:top w:val="nil"/>
              <w:left w:val="nil"/>
              <w:bottom w:val="nil"/>
              <w:right w:val="single" w:color="000000" w:sz="8" w:space="0"/>
            </w:tcBorders>
            <w:noWrap w:val="0"/>
            <w:vAlign w:val="center"/>
          </w:tcPr>
          <w:p w14:paraId="01B426CF">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2.以上技术要求必须全部满足，提供承诺函，格式自拟。</w:t>
            </w:r>
          </w:p>
        </w:tc>
      </w:tr>
      <w:tr w14:paraId="70BC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14:paraId="6319CB9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7690" w:type="dxa"/>
            <w:gridSpan w:val="2"/>
            <w:tcBorders>
              <w:top w:val="nil"/>
              <w:left w:val="nil"/>
              <w:bottom w:val="single" w:color="000000" w:sz="8" w:space="0"/>
              <w:right w:val="single" w:color="000000" w:sz="8" w:space="0"/>
            </w:tcBorders>
            <w:noWrap w:val="0"/>
            <w:vAlign w:val="center"/>
          </w:tcPr>
          <w:p w14:paraId="3C569D80">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r>
              <w:rPr>
                <w:rStyle w:val="8"/>
                <w:rFonts w:hint="eastAsia" w:ascii="仿宋" w:hAnsi="仿宋" w:eastAsia="仿宋" w:cs="仿宋"/>
                <w:sz w:val="24"/>
                <w:szCs w:val="24"/>
                <w:highlight w:val="none"/>
                <w:lang w:val="en-US" w:eastAsia="zh-CN" w:bidi="ar"/>
              </w:rPr>
              <w:t>科学验证及校准服务必须出具加盖公章的验证及校准报告，否则按无效响应处理。（须提供承诺函，格式自拟）</w:t>
            </w:r>
          </w:p>
        </w:tc>
      </w:tr>
    </w:tbl>
    <w:p w14:paraId="3392389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zh-CN" w:eastAsia="zh-CN"/>
        </w:rPr>
        <w:t>、商务要求</w:t>
      </w:r>
    </w:p>
    <w:p w14:paraId="5DD4012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highlight w:val="none"/>
        </w:rPr>
      </w:pPr>
      <w:bookmarkStart w:id="1" w:name="_Toc24273"/>
      <w:r>
        <w:rPr>
          <w:rFonts w:hint="eastAsia" w:ascii="仿宋" w:hAnsi="仿宋" w:eastAsia="仿宋" w:cs="仿宋"/>
          <w:b w:val="0"/>
          <w:bCs w:val="0"/>
          <w:color w:val="1D1D20"/>
          <w:sz w:val="28"/>
          <w:szCs w:val="28"/>
          <w:highlight w:val="none"/>
          <w:lang w:val="en-US" w:eastAsia="zh-CN"/>
        </w:rPr>
        <w:t>1、</w:t>
      </w:r>
      <w:r>
        <w:rPr>
          <w:rFonts w:hint="eastAsia" w:ascii="仿宋" w:hAnsi="仿宋" w:eastAsia="仿宋" w:cs="仿宋"/>
          <w:b w:val="0"/>
          <w:bCs w:val="0"/>
          <w:color w:val="1D1D20"/>
          <w:sz w:val="28"/>
          <w:szCs w:val="28"/>
          <w:highlight w:val="none"/>
        </w:rPr>
        <w:t>报价要求：</w:t>
      </w:r>
      <w:r>
        <w:rPr>
          <w:rFonts w:hint="eastAsia" w:ascii="仿宋" w:hAnsi="仿宋" w:eastAsia="仿宋" w:cs="仿宋"/>
          <w:b w:val="0"/>
          <w:bCs w:val="0"/>
          <w:snapToGrid w:val="0"/>
          <w:color w:val="1D1D20"/>
          <w:sz w:val="28"/>
          <w:szCs w:val="28"/>
          <w:highlight w:val="none"/>
        </w:rPr>
        <w:t>供应商的报价应包括：人员费用、运输费用、</w:t>
      </w:r>
      <w:r>
        <w:rPr>
          <w:rFonts w:hint="eastAsia" w:ascii="仿宋" w:hAnsi="仿宋" w:eastAsia="仿宋" w:cs="仿宋"/>
          <w:b w:val="0"/>
          <w:bCs w:val="0"/>
          <w:snapToGrid w:val="0"/>
          <w:color w:val="1D1D20"/>
          <w:sz w:val="28"/>
          <w:szCs w:val="28"/>
          <w:highlight w:val="none"/>
          <w:lang w:val="en-US" w:eastAsia="zh-CN"/>
        </w:rPr>
        <w:t>包装</w:t>
      </w:r>
      <w:r>
        <w:rPr>
          <w:rFonts w:hint="eastAsia" w:ascii="仿宋" w:hAnsi="仿宋" w:eastAsia="仿宋" w:cs="仿宋"/>
          <w:b w:val="0"/>
          <w:bCs w:val="0"/>
          <w:snapToGrid w:val="0"/>
          <w:color w:val="1D1D20"/>
          <w:sz w:val="28"/>
          <w:szCs w:val="28"/>
          <w:highlight w:val="none"/>
        </w:rPr>
        <w:t>费</w:t>
      </w:r>
      <w:r>
        <w:rPr>
          <w:rFonts w:hint="eastAsia" w:ascii="仿宋" w:hAnsi="仿宋" w:eastAsia="仿宋" w:cs="仿宋"/>
          <w:b w:val="0"/>
          <w:bCs w:val="0"/>
          <w:snapToGrid w:val="0"/>
          <w:color w:val="1D1D20"/>
          <w:sz w:val="28"/>
          <w:szCs w:val="28"/>
          <w:highlight w:val="none"/>
          <w:lang w:val="en-US" w:eastAsia="zh-CN"/>
        </w:rPr>
        <w:t>用</w:t>
      </w:r>
      <w:r>
        <w:rPr>
          <w:rFonts w:hint="eastAsia" w:ascii="仿宋" w:hAnsi="仿宋" w:eastAsia="仿宋" w:cs="仿宋"/>
          <w:b w:val="0"/>
          <w:bCs w:val="0"/>
          <w:snapToGrid w:val="0"/>
          <w:color w:val="1D1D20"/>
          <w:sz w:val="28"/>
          <w:szCs w:val="28"/>
          <w:highlight w:val="none"/>
        </w:rPr>
        <w:t>、管理费及税金等为完成</w:t>
      </w:r>
      <w:r>
        <w:rPr>
          <w:rFonts w:hint="eastAsia" w:ascii="仿宋" w:hAnsi="仿宋" w:eastAsia="仿宋" w:cs="仿宋"/>
          <w:b w:val="0"/>
          <w:bCs w:val="0"/>
          <w:snapToGrid w:val="0"/>
          <w:color w:val="1D1D20"/>
          <w:sz w:val="28"/>
          <w:szCs w:val="28"/>
          <w:highlight w:val="none"/>
          <w:lang w:eastAsia="zh-CN"/>
        </w:rPr>
        <w:t>竞价</w:t>
      </w:r>
      <w:r>
        <w:rPr>
          <w:rFonts w:hint="eastAsia" w:ascii="仿宋" w:hAnsi="仿宋" w:eastAsia="仿宋" w:cs="仿宋"/>
          <w:b w:val="0"/>
          <w:bCs w:val="0"/>
          <w:snapToGrid w:val="0"/>
          <w:color w:val="1D1D20"/>
          <w:sz w:val="28"/>
          <w:szCs w:val="28"/>
          <w:highlight w:val="none"/>
        </w:rPr>
        <w:t>文件规定全部内容所需的一切应有费用。</w:t>
      </w:r>
    </w:p>
    <w:p w14:paraId="73576B52">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highlight w:val="none"/>
          <w:lang w:val="zh-CN" w:eastAsia="zh-CN"/>
        </w:rPr>
      </w:pPr>
      <w:r>
        <w:rPr>
          <w:rFonts w:hint="eastAsia" w:ascii="仿宋" w:hAnsi="仿宋" w:eastAsia="仿宋" w:cs="仿宋"/>
          <w:b w:val="0"/>
          <w:bCs w:val="0"/>
          <w:snapToGrid w:val="0"/>
          <w:color w:val="1D1D20"/>
          <w:sz w:val="28"/>
          <w:szCs w:val="28"/>
          <w:highlight w:val="none"/>
          <w:lang w:val="en-US" w:eastAsia="zh-CN"/>
        </w:rPr>
        <w:t>2、服务</w:t>
      </w:r>
      <w:r>
        <w:rPr>
          <w:rFonts w:hint="eastAsia" w:ascii="仿宋" w:hAnsi="仿宋" w:eastAsia="仿宋" w:cs="仿宋"/>
          <w:b w:val="0"/>
          <w:bCs w:val="0"/>
          <w:snapToGrid w:val="0"/>
          <w:color w:val="1D1D20"/>
          <w:sz w:val="28"/>
          <w:szCs w:val="28"/>
          <w:highlight w:val="none"/>
        </w:rPr>
        <w:t>地点：采购人指定地点</w:t>
      </w:r>
      <w:r>
        <w:rPr>
          <w:rFonts w:hint="eastAsia" w:ascii="仿宋" w:hAnsi="仿宋" w:eastAsia="仿宋" w:cs="仿宋"/>
          <w:b w:val="0"/>
          <w:bCs w:val="0"/>
          <w:snapToGrid w:val="0"/>
          <w:color w:val="1D1D20"/>
          <w:sz w:val="28"/>
          <w:szCs w:val="28"/>
          <w:highlight w:val="none"/>
          <w:lang w:eastAsia="zh-CN"/>
        </w:rPr>
        <w:t>。</w:t>
      </w:r>
    </w:p>
    <w:p w14:paraId="450B0B58">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b w:val="0"/>
          <w:bCs w:val="0"/>
          <w:snapToGrid w:val="0"/>
          <w:color w:val="1D1D20"/>
          <w:sz w:val="28"/>
          <w:szCs w:val="28"/>
          <w:highlight w:val="none"/>
          <w:lang w:val="en-US" w:eastAsia="zh-CN"/>
        </w:rPr>
        <w:t>3、付款及结算方式：</w:t>
      </w:r>
      <w:r>
        <w:rPr>
          <w:rFonts w:hint="eastAsia" w:ascii="仿宋" w:hAnsi="仿宋" w:eastAsia="仿宋" w:cs="仿宋"/>
          <w:sz w:val="28"/>
          <w:szCs w:val="28"/>
          <w:highlight w:val="none"/>
        </w:rPr>
        <w:t>服务完成</w:t>
      </w:r>
      <w:r>
        <w:rPr>
          <w:rFonts w:hint="eastAsia" w:ascii="仿宋" w:hAnsi="仿宋" w:eastAsia="仿宋" w:cs="仿宋"/>
          <w:snapToGrid w:val="0"/>
          <w:sz w:val="28"/>
          <w:szCs w:val="28"/>
          <w:highlight w:val="none"/>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highlight w:val="none"/>
        </w:rPr>
        <w:t>15</w:t>
      </w:r>
      <w:r>
        <w:rPr>
          <w:rFonts w:hint="eastAsia" w:ascii="仿宋" w:hAnsi="仿宋" w:eastAsia="仿宋" w:cs="仿宋"/>
          <w:snapToGrid w:val="0"/>
          <w:sz w:val="28"/>
          <w:szCs w:val="28"/>
          <w:highlight w:val="none"/>
          <w:lang w:val="zh-CN"/>
        </w:rPr>
        <w:t>个工作日内结清全部货款。</w:t>
      </w:r>
    </w:p>
    <w:p w14:paraId="15DAA7D1">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color w:val="1D1D20"/>
          <w:spacing w:val="-1"/>
          <w:sz w:val="28"/>
          <w:szCs w:val="28"/>
          <w:highlight w:val="none"/>
          <w:lang w:val="en-US" w:eastAsia="zh-CN"/>
        </w:rPr>
      </w:pPr>
      <w:r>
        <w:rPr>
          <w:rFonts w:hint="eastAsia" w:ascii="仿宋" w:hAnsi="仿宋" w:eastAsia="仿宋" w:cs="仿宋"/>
          <w:b w:val="0"/>
          <w:bCs w:val="0"/>
          <w:color w:val="1D1D20"/>
          <w:sz w:val="28"/>
          <w:szCs w:val="28"/>
          <w:highlight w:val="none"/>
          <w:lang w:val="en-US" w:eastAsia="zh-CN"/>
        </w:rPr>
        <w:t>4、</w:t>
      </w:r>
      <w:r>
        <w:rPr>
          <w:rFonts w:hint="eastAsia" w:ascii="仿宋" w:hAnsi="仿宋" w:eastAsia="仿宋" w:cs="仿宋"/>
          <w:b w:val="0"/>
          <w:bCs w:val="0"/>
          <w:color w:val="1D1D20"/>
          <w:sz w:val="28"/>
          <w:szCs w:val="28"/>
          <w:highlight w:val="none"/>
          <w:lang w:eastAsia="zh-CN"/>
        </w:rPr>
        <w:t>踏勘现场：</w:t>
      </w:r>
      <w:r>
        <w:rPr>
          <w:rFonts w:hint="eastAsia" w:ascii="仿宋" w:hAnsi="仿宋" w:eastAsia="仿宋" w:cs="仿宋"/>
          <w:b w:val="0"/>
          <w:bCs w:val="0"/>
          <w:color w:val="1D1D20"/>
          <w:sz w:val="28"/>
          <w:szCs w:val="28"/>
          <w:highlight w:val="none"/>
          <w:lang w:val="en-US" w:eastAsia="zh-CN"/>
        </w:rPr>
        <w:t>本项目采购人不组织集中踏勘现场。</w:t>
      </w:r>
    </w:p>
    <w:p w14:paraId="18A9CBBE">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color w:val="1D1D20"/>
          <w:sz w:val="28"/>
          <w:szCs w:val="28"/>
          <w:highlight w:val="none"/>
          <w:lang w:val="en-US" w:eastAsia="zh-CN"/>
        </w:rPr>
        <w:t>5、</w:t>
      </w:r>
      <w:r>
        <w:rPr>
          <w:rFonts w:hint="eastAsia" w:ascii="仿宋" w:hAnsi="仿宋" w:eastAsia="仿宋" w:cs="仿宋"/>
          <w:b w:val="0"/>
          <w:bCs w:val="0"/>
          <w:color w:val="1D1D20"/>
          <w:sz w:val="28"/>
          <w:szCs w:val="28"/>
          <w:highlight w:val="none"/>
        </w:rPr>
        <w:t>验收标准</w:t>
      </w:r>
      <w:r>
        <w:rPr>
          <w:rFonts w:hint="eastAsia" w:ascii="仿宋" w:hAnsi="仿宋" w:eastAsia="仿宋" w:cs="仿宋"/>
          <w:b w:val="0"/>
          <w:bCs w:val="0"/>
          <w:color w:val="1D1D20"/>
          <w:sz w:val="28"/>
          <w:szCs w:val="28"/>
          <w:highlight w:val="none"/>
          <w:lang w:eastAsia="zh-CN"/>
        </w:rPr>
        <w:t>：</w:t>
      </w:r>
      <w:r>
        <w:rPr>
          <w:rFonts w:hint="eastAsia" w:ascii="仿宋" w:hAnsi="仿宋" w:eastAsia="仿宋" w:cs="仿宋"/>
          <w:b w:val="0"/>
          <w:bCs w:val="0"/>
          <w:color w:val="1D1D20"/>
          <w:sz w:val="28"/>
          <w:szCs w:val="28"/>
          <w:highlight w:val="none"/>
          <w:lang w:val="en-US" w:eastAsia="zh-CN"/>
        </w:rPr>
        <w:t>通过国家和行业标准</w:t>
      </w:r>
      <w:bookmarkEnd w:id="1"/>
      <w:r>
        <w:rPr>
          <w:rFonts w:hint="eastAsia" w:ascii="仿宋" w:hAnsi="仿宋" w:eastAsia="仿宋" w:cs="仿宋"/>
          <w:b w:val="0"/>
          <w:bCs w:val="0"/>
          <w:color w:val="1D1D20"/>
          <w:sz w:val="28"/>
          <w:szCs w:val="28"/>
          <w:highlight w:val="none"/>
          <w:lang w:val="en-US" w:eastAsia="zh-CN"/>
        </w:rPr>
        <w:t>。</w:t>
      </w:r>
    </w:p>
    <w:p w14:paraId="1719B2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F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仿宋"/>
      <w:b/>
      <w:bCs/>
      <w:kern w:val="44"/>
      <w:sz w:val="30"/>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Plain Text"/>
    <w:basedOn w:val="1"/>
    <w:next w:val="1"/>
    <w:uiPriority w:val="0"/>
    <w:rPr>
      <w:rFonts w:ascii="宋体" w:hAnsi="Courier New"/>
      <w:szCs w:val="20"/>
    </w:rPr>
  </w:style>
  <w:style w:type="character" w:customStyle="1" w:styleId="7">
    <w:name w:val="font81"/>
    <w:basedOn w:val="6"/>
    <w:qFormat/>
    <w:uiPriority w:val="0"/>
    <w:rPr>
      <w:rFonts w:hint="eastAsia" w:ascii="仿宋" w:hAnsi="仿宋" w:eastAsia="仿宋" w:cs="仿宋"/>
      <w:b/>
      <w:bCs/>
      <w:color w:val="000000"/>
      <w:sz w:val="24"/>
      <w:szCs w:val="24"/>
      <w:u w:val="none"/>
    </w:rPr>
  </w:style>
  <w:style w:type="character" w:customStyle="1" w:styleId="8">
    <w:name w:val="font41"/>
    <w:basedOn w:val="6"/>
    <w:uiPriority w:val="0"/>
    <w:rPr>
      <w:rFonts w:ascii="宋体" w:hAnsi="宋体" w:eastAsia="宋体" w:cs="宋体"/>
      <w:b/>
      <w:bCs/>
      <w:color w:val="000000"/>
      <w:sz w:val="14"/>
      <w:szCs w:val="14"/>
      <w:u w:val="none"/>
    </w:rPr>
  </w:style>
  <w:style w:type="character" w:customStyle="1" w:styleId="9">
    <w:name w:val="font61"/>
    <w:basedOn w:val="6"/>
    <w:qFormat/>
    <w:uiPriority w:val="0"/>
    <w:rPr>
      <w:rFonts w:hint="eastAsia" w:ascii="宋体" w:hAnsi="宋体" w:eastAsia="宋体" w:cs="宋体"/>
      <w:color w:val="000000"/>
      <w:sz w:val="16"/>
      <w:szCs w:val="16"/>
      <w:u w:val="none"/>
    </w:rPr>
  </w:style>
  <w:style w:type="character" w:customStyle="1" w:styleId="10">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2025-04-24T07:21:44Z</dcterms:created>
  <dc:creator>Administrator</dc:creator>
  <cp:lastModifiedBy>周敏</cp:lastModifiedBy>
  <dcterms:modified xsi:type="dcterms:W3CDTF">2025-04-24T07:21:52Z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F3205B3832EE4F0B8C650BC27FB5A987_12</vt:lpwstr>
  </property>
</Properties>
</file>