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margin" w:tblpXSpec="center" w:tblpY="163"/>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7"/>
        <w:gridCol w:w="1716"/>
        <w:gridCol w:w="4652"/>
        <w:gridCol w:w="1025"/>
      </w:tblGrid>
      <w:tr w14:paraId="3BC39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jc w:val="center"/>
        </w:trPr>
        <w:tc>
          <w:tcPr>
            <w:tcW w:w="1687" w:type="dxa"/>
            <w:shd w:val="clear" w:color="auto" w:fill="auto"/>
            <w:vAlign w:val="center"/>
          </w:tcPr>
          <w:p w14:paraId="5DA5C2CC">
            <w:pPr>
              <w:pStyle w:val="4"/>
              <w:spacing w:before="79" w:line="360" w:lineRule="auto"/>
              <w:ind w:left="496"/>
              <w:jc w:val="center"/>
              <w:rPr>
                <w:rFonts w:hint="eastAsia" w:ascii="仿宋" w:hAnsi="仿宋" w:eastAsia="仿宋" w:cs="仿宋"/>
                <w:b/>
                <w:bCs w:val="0"/>
                <w:color w:val="auto"/>
                <w:sz w:val="24"/>
                <w:szCs w:val="24"/>
                <w:highlight w:val="none"/>
                <w:lang w:eastAsia="en-US"/>
              </w:rPr>
            </w:pPr>
            <w:r>
              <w:rPr>
                <w:rFonts w:hint="eastAsia" w:ascii="仿宋" w:hAnsi="仿宋" w:eastAsia="仿宋" w:cs="仿宋"/>
                <w:b/>
                <w:bCs w:val="0"/>
                <w:color w:val="auto"/>
                <w:sz w:val="24"/>
                <w:szCs w:val="24"/>
                <w:highlight w:val="none"/>
                <w:lang w:eastAsia="en-US"/>
              </w:rPr>
              <w:t>类别</w:t>
            </w:r>
          </w:p>
        </w:tc>
        <w:tc>
          <w:tcPr>
            <w:tcW w:w="1716" w:type="dxa"/>
            <w:shd w:val="clear" w:color="auto" w:fill="auto"/>
            <w:vAlign w:val="center"/>
          </w:tcPr>
          <w:p w14:paraId="2F2A1A38">
            <w:pPr>
              <w:pStyle w:val="4"/>
              <w:spacing w:before="79" w:line="360" w:lineRule="auto"/>
              <w:ind w:left="357" w:right="350"/>
              <w:jc w:val="center"/>
              <w:rPr>
                <w:rFonts w:hint="eastAsia" w:ascii="仿宋" w:hAnsi="仿宋" w:eastAsia="仿宋" w:cs="仿宋"/>
                <w:b/>
                <w:bCs w:val="0"/>
                <w:color w:val="auto"/>
                <w:sz w:val="24"/>
                <w:szCs w:val="24"/>
                <w:highlight w:val="none"/>
                <w:lang w:eastAsia="en-US"/>
              </w:rPr>
            </w:pPr>
            <w:r>
              <w:rPr>
                <w:rFonts w:hint="eastAsia" w:ascii="仿宋" w:hAnsi="仿宋" w:eastAsia="仿宋" w:cs="仿宋"/>
                <w:b/>
                <w:bCs w:val="0"/>
                <w:color w:val="auto"/>
                <w:sz w:val="24"/>
                <w:szCs w:val="24"/>
                <w:highlight w:val="none"/>
                <w:lang w:eastAsia="en-US"/>
              </w:rPr>
              <w:t>评分内容</w:t>
            </w:r>
          </w:p>
        </w:tc>
        <w:tc>
          <w:tcPr>
            <w:tcW w:w="4652" w:type="dxa"/>
            <w:shd w:val="clear" w:color="auto" w:fill="auto"/>
            <w:vAlign w:val="center"/>
          </w:tcPr>
          <w:p w14:paraId="77E42B05">
            <w:pPr>
              <w:pStyle w:val="4"/>
              <w:spacing w:before="79" w:line="360" w:lineRule="auto"/>
              <w:ind w:left="1367" w:right="1362"/>
              <w:jc w:val="both"/>
              <w:rPr>
                <w:rFonts w:hint="eastAsia" w:ascii="仿宋" w:hAnsi="仿宋" w:eastAsia="仿宋" w:cs="仿宋"/>
                <w:b/>
                <w:bCs w:val="0"/>
                <w:color w:val="auto"/>
                <w:sz w:val="24"/>
                <w:szCs w:val="24"/>
                <w:highlight w:val="none"/>
                <w:lang w:eastAsia="en-US"/>
              </w:rPr>
            </w:pPr>
            <w:r>
              <w:rPr>
                <w:rFonts w:hint="eastAsia" w:ascii="仿宋" w:hAnsi="仿宋" w:eastAsia="仿宋" w:cs="仿宋"/>
                <w:b/>
                <w:bCs w:val="0"/>
                <w:color w:val="auto"/>
                <w:sz w:val="24"/>
                <w:szCs w:val="24"/>
                <w:highlight w:val="none"/>
                <w:lang w:eastAsia="en-US"/>
              </w:rPr>
              <w:t>评分标准</w:t>
            </w:r>
          </w:p>
        </w:tc>
        <w:tc>
          <w:tcPr>
            <w:tcW w:w="1025" w:type="dxa"/>
            <w:shd w:val="clear" w:color="auto" w:fill="auto"/>
            <w:vAlign w:val="center"/>
          </w:tcPr>
          <w:p w14:paraId="30B01568">
            <w:pPr>
              <w:pStyle w:val="4"/>
              <w:spacing w:before="79" w:line="360" w:lineRule="auto"/>
              <w:ind w:right="293"/>
              <w:jc w:val="center"/>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en-US"/>
              </w:rPr>
              <w:t>分值</w:t>
            </w:r>
            <w:r>
              <w:rPr>
                <w:rFonts w:hint="eastAsia" w:ascii="仿宋" w:hAnsi="仿宋" w:eastAsia="仿宋" w:cs="仿宋"/>
                <w:b/>
                <w:bCs w:val="0"/>
                <w:color w:val="auto"/>
                <w:sz w:val="24"/>
                <w:szCs w:val="24"/>
                <w:highlight w:val="none"/>
                <w:lang w:eastAsia="zh-CN"/>
              </w:rPr>
              <w:t>范围</w:t>
            </w:r>
          </w:p>
        </w:tc>
      </w:tr>
      <w:tr w14:paraId="66260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jc w:val="center"/>
        </w:trPr>
        <w:tc>
          <w:tcPr>
            <w:tcW w:w="1687" w:type="dxa"/>
            <w:vMerge w:val="restart"/>
            <w:shd w:val="clear" w:color="auto" w:fill="auto"/>
            <w:vAlign w:val="center"/>
          </w:tcPr>
          <w:p w14:paraId="2694C174">
            <w:pPr>
              <w:pStyle w:val="4"/>
              <w:spacing w:before="79" w:line="360" w:lineRule="auto"/>
              <w:jc w:val="center"/>
              <w:rPr>
                <w:rFonts w:hint="eastAsia" w:ascii="仿宋" w:hAnsi="仿宋" w:eastAsia="仿宋" w:cs="仿宋"/>
                <w:b w:val="0"/>
                <w:bCs/>
                <w:color w:val="auto"/>
                <w:sz w:val="24"/>
                <w:szCs w:val="24"/>
                <w:highlight w:val="none"/>
                <w:lang w:eastAsia="en-US"/>
              </w:rPr>
            </w:pPr>
            <w:r>
              <w:rPr>
                <w:rFonts w:hint="eastAsia" w:ascii="仿宋" w:hAnsi="仿宋" w:eastAsia="仿宋" w:cs="仿宋"/>
                <w:b w:val="0"/>
                <w:bCs/>
                <w:sz w:val="24"/>
                <w:szCs w:val="24"/>
                <w:lang w:val="en-US" w:eastAsia="zh-CN"/>
              </w:rPr>
              <w:t>经营性指标</w:t>
            </w:r>
          </w:p>
        </w:tc>
        <w:tc>
          <w:tcPr>
            <w:tcW w:w="1716" w:type="dxa"/>
            <w:shd w:val="clear" w:color="auto" w:fill="auto"/>
            <w:vAlign w:val="center"/>
          </w:tcPr>
          <w:p w14:paraId="2F72C7DF">
            <w:pPr>
              <w:pStyle w:val="4"/>
              <w:spacing w:before="79" w:line="360" w:lineRule="auto"/>
              <w:ind w:right="350"/>
              <w:jc w:val="center"/>
              <w:rPr>
                <w:rFonts w:hint="eastAsia" w:ascii="仿宋" w:hAnsi="仿宋" w:eastAsia="仿宋" w:cs="仿宋"/>
                <w:b w:val="0"/>
                <w:bCs/>
                <w:color w:val="auto"/>
                <w:sz w:val="24"/>
                <w:szCs w:val="24"/>
                <w:highlight w:val="none"/>
                <w:lang w:eastAsia="en-US"/>
              </w:rPr>
            </w:pPr>
            <w:r>
              <w:rPr>
                <w:rFonts w:hint="eastAsia" w:ascii="仿宋" w:hAnsi="仿宋" w:eastAsia="仿宋" w:cs="仿宋"/>
                <w:b w:val="0"/>
                <w:bCs/>
                <w:sz w:val="24"/>
                <w:szCs w:val="24"/>
                <w:lang w:val="en-US" w:eastAsia="zh-CN"/>
              </w:rPr>
              <w:t>不良贷款率</w:t>
            </w:r>
          </w:p>
        </w:tc>
        <w:tc>
          <w:tcPr>
            <w:tcW w:w="4652" w:type="dxa"/>
            <w:shd w:val="clear" w:color="auto" w:fill="auto"/>
            <w:vAlign w:val="center"/>
          </w:tcPr>
          <w:p w14:paraId="28445B82">
            <w:pPr>
              <w:bidi w:val="0"/>
              <w:rPr>
                <w:rFonts w:hint="eastAsia" w:ascii="仿宋" w:hAnsi="仿宋" w:eastAsia="仿宋" w:cs="仿宋"/>
                <w:b w:val="0"/>
                <w:bCs/>
                <w:sz w:val="24"/>
                <w:szCs w:val="24"/>
                <w:lang w:val="en-US" w:eastAsia="en-US"/>
              </w:rPr>
            </w:pPr>
            <w:r>
              <w:rPr>
                <w:rFonts w:hint="eastAsia" w:ascii="仿宋" w:hAnsi="仿宋" w:eastAsia="仿宋" w:cs="仿宋"/>
                <w:b w:val="0"/>
                <w:bCs/>
                <w:sz w:val="24"/>
                <w:szCs w:val="24"/>
                <w:lang w:val="en-US" w:eastAsia="en-US"/>
              </w:rPr>
              <w:t>202</w:t>
            </w:r>
            <w:r>
              <w:rPr>
                <w:rFonts w:hint="eastAsia" w:ascii="仿宋" w:hAnsi="仿宋" w:eastAsia="仿宋" w:cs="仿宋"/>
                <w:b w:val="0"/>
                <w:bCs/>
                <w:sz w:val="24"/>
                <w:szCs w:val="24"/>
                <w:lang w:val="en-US" w:eastAsia="zh-CN"/>
              </w:rPr>
              <w:t>4</w:t>
            </w:r>
            <w:r>
              <w:rPr>
                <w:rFonts w:hint="eastAsia" w:ascii="仿宋" w:hAnsi="仿宋" w:eastAsia="仿宋" w:cs="仿宋"/>
                <w:b w:val="0"/>
                <w:bCs/>
                <w:sz w:val="24"/>
                <w:szCs w:val="24"/>
                <w:lang w:val="en-US" w:eastAsia="en-US"/>
              </w:rPr>
              <w:t>年不良贷款率，不良贷款率通常不高于5%，不良贷款率小于等于5%的得10分，不良贷款率大于5%的不得分。</w:t>
            </w:r>
          </w:p>
          <w:p w14:paraId="2306E89B">
            <w:pPr>
              <w:bidi w:val="0"/>
              <w:rPr>
                <w:rFonts w:hint="eastAsia" w:ascii="仿宋" w:hAnsi="仿宋" w:eastAsia="仿宋" w:cs="仿宋"/>
                <w:b w:val="0"/>
                <w:bCs/>
                <w:sz w:val="24"/>
                <w:szCs w:val="24"/>
                <w:lang w:val="en-US" w:eastAsia="en-US"/>
              </w:rPr>
            </w:pPr>
            <w:bookmarkStart w:id="0" w:name="OLE_LINK11"/>
            <w:r>
              <w:rPr>
                <w:rFonts w:hint="eastAsia" w:ascii="仿宋" w:hAnsi="仿宋" w:eastAsia="仿宋" w:cs="仿宋"/>
                <w:b w:val="0"/>
                <w:bCs/>
                <w:sz w:val="24"/>
                <w:szCs w:val="24"/>
                <w:lang w:val="en-US" w:eastAsia="zh-CN"/>
              </w:rPr>
              <w:t>注：需提供</w:t>
            </w:r>
            <w:r>
              <w:rPr>
                <w:rFonts w:hint="eastAsia" w:ascii="仿宋" w:hAnsi="仿宋" w:eastAsia="仿宋" w:cs="仿宋"/>
                <w:b w:val="0"/>
                <w:bCs/>
                <w:sz w:val="24"/>
                <w:szCs w:val="24"/>
                <w:lang w:val="en-US" w:eastAsia="en-US"/>
              </w:rPr>
              <w:t>经审计的202</w:t>
            </w:r>
            <w:r>
              <w:rPr>
                <w:rFonts w:hint="eastAsia" w:ascii="仿宋" w:hAnsi="仿宋" w:eastAsia="仿宋" w:cs="仿宋"/>
                <w:b w:val="0"/>
                <w:bCs/>
                <w:sz w:val="24"/>
                <w:szCs w:val="24"/>
                <w:lang w:val="en-US" w:eastAsia="zh-CN"/>
              </w:rPr>
              <w:t>4</w:t>
            </w:r>
            <w:r>
              <w:rPr>
                <w:rFonts w:hint="eastAsia" w:ascii="仿宋" w:hAnsi="仿宋" w:eastAsia="仿宋" w:cs="仿宋"/>
                <w:b w:val="0"/>
                <w:bCs/>
                <w:sz w:val="24"/>
                <w:szCs w:val="24"/>
                <w:lang w:val="en-US" w:eastAsia="en-US"/>
              </w:rPr>
              <w:t>年度财务报告（含资产负债表及附注），明确标注不良贷款率数据。</w:t>
            </w:r>
            <w:bookmarkEnd w:id="0"/>
          </w:p>
        </w:tc>
        <w:tc>
          <w:tcPr>
            <w:tcW w:w="1025" w:type="dxa"/>
            <w:shd w:val="clear" w:color="auto" w:fill="auto"/>
            <w:vAlign w:val="center"/>
          </w:tcPr>
          <w:p w14:paraId="50F0967E">
            <w:pPr>
              <w:pStyle w:val="4"/>
              <w:spacing w:before="79" w:line="360" w:lineRule="auto"/>
              <w:ind w:right="293"/>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10分</w:t>
            </w:r>
          </w:p>
        </w:tc>
      </w:tr>
      <w:tr w14:paraId="04FB1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jc w:val="center"/>
        </w:trPr>
        <w:tc>
          <w:tcPr>
            <w:tcW w:w="1687" w:type="dxa"/>
            <w:vMerge w:val="continue"/>
            <w:shd w:val="clear" w:color="auto" w:fill="auto"/>
            <w:vAlign w:val="center"/>
          </w:tcPr>
          <w:p w14:paraId="6E6146EC">
            <w:pPr>
              <w:pStyle w:val="4"/>
              <w:spacing w:before="79" w:line="360" w:lineRule="auto"/>
              <w:ind w:left="496"/>
              <w:jc w:val="center"/>
              <w:rPr>
                <w:rFonts w:hint="eastAsia" w:ascii="仿宋" w:hAnsi="仿宋" w:eastAsia="仿宋" w:cs="仿宋"/>
                <w:b w:val="0"/>
                <w:bCs/>
                <w:sz w:val="24"/>
                <w:szCs w:val="24"/>
                <w:lang w:val="en-US" w:eastAsia="zh-CN"/>
              </w:rPr>
            </w:pPr>
          </w:p>
        </w:tc>
        <w:tc>
          <w:tcPr>
            <w:tcW w:w="1716" w:type="dxa"/>
            <w:shd w:val="clear" w:color="auto" w:fill="auto"/>
            <w:vAlign w:val="center"/>
          </w:tcPr>
          <w:p w14:paraId="6194731A">
            <w:pPr>
              <w:pStyle w:val="4"/>
              <w:spacing w:before="79" w:line="360" w:lineRule="auto"/>
              <w:ind w:right="350"/>
              <w:jc w:val="center"/>
              <w:rPr>
                <w:rFonts w:hint="eastAsia" w:ascii="仿宋" w:hAnsi="仿宋" w:eastAsia="仿宋" w:cs="仿宋"/>
                <w:b w:val="0"/>
                <w:bCs/>
                <w:sz w:val="24"/>
                <w:szCs w:val="24"/>
                <w:lang w:val="en-US" w:eastAsia="zh-CN"/>
              </w:rPr>
            </w:pPr>
            <w:bookmarkStart w:id="1" w:name="OLE_LINK13"/>
            <w:r>
              <w:rPr>
                <w:rFonts w:hint="eastAsia" w:ascii="仿宋" w:hAnsi="仿宋" w:eastAsia="仿宋" w:cs="仿宋"/>
                <w:b w:val="0"/>
                <w:bCs/>
                <w:sz w:val="24"/>
                <w:szCs w:val="24"/>
                <w:lang w:val="en-US" w:eastAsia="zh-CN"/>
              </w:rPr>
              <w:t>拨备覆盖率</w:t>
            </w:r>
            <w:bookmarkEnd w:id="1"/>
          </w:p>
        </w:tc>
        <w:tc>
          <w:tcPr>
            <w:tcW w:w="4652" w:type="dxa"/>
            <w:shd w:val="clear" w:color="auto" w:fill="auto"/>
            <w:vAlign w:val="center"/>
          </w:tcPr>
          <w:p w14:paraId="051E8E08">
            <w:pPr>
              <w:bidi w:val="0"/>
              <w:rPr>
                <w:rFonts w:hint="eastAsia" w:ascii="仿宋" w:hAnsi="仿宋" w:eastAsia="仿宋" w:cs="仿宋"/>
                <w:b w:val="0"/>
                <w:bCs/>
                <w:sz w:val="24"/>
                <w:szCs w:val="24"/>
                <w:lang w:val="en-US" w:eastAsia="en-US"/>
              </w:rPr>
            </w:pPr>
            <w:r>
              <w:rPr>
                <w:rFonts w:hint="eastAsia" w:ascii="仿宋" w:hAnsi="仿宋" w:eastAsia="仿宋" w:cs="仿宋"/>
                <w:b w:val="0"/>
                <w:bCs/>
                <w:sz w:val="24"/>
                <w:szCs w:val="24"/>
                <w:lang w:val="en-US" w:eastAsia="en-US"/>
              </w:rPr>
              <w:t>202</w:t>
            </w:r>
            <w:r>
              <w:rPr>
                <w:rFonts w:hint="eastAsia" w:ascii="仿宋" w:hAnsi="仿宋" w:eastAsia="仿宋" w:cs="仿宋"/>
                <w:b w:val="0"/>
                <w:bCs/>
                <w:sz w:val="24"/>
                <w:szCs w:val="24"/>
                <w:lang w:val="en-US" w:eastAsia="zh-CN"/>
              </w:rPr>
              <w:t>4</w:t>
            </w:r>
            <w:r>
              <w:rPr>
                <w:rFonts w:hint="eastAsia" w:ascii="仿宋" w:hAnsi="仿宋" w:eastAsia="仿宋" w:cs="仿宋"/>
                <w:b w:val="0"/>
                <w:bCs/>
                <w:sz w:val="24"/>
                <w:szCs w:val="24"/>
                <w:lang w:val="en-US" w:eastAsia="en-US"/>
              </w:rPr>
              <w:t>年拨备覆盖率</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lang w:val="en-US" w:eastAsia="en-US"/>
              </w:rPr>
              <w:t>拨备覆盖率通常在120%-150%之间，拨备覆盖率低于120%不得分，在120%-150%之间得8分，大于150%为优秀得10分。</w:t>
            </w:r>
          </w:p>
          <w:p w14:paraId="2FCFA7F7">
            <w:pPr>
              <w:bidi w:val="0"/>
              <w:rPr>
                <w:rFonts w:hint="eastAsia" w:ascii="仿宋" w:hAnsi="仿宋" w:eastAsia="仿宋" w:cs="仿宋"/>
                <w:b w:val="0"/>
                <w:bCs/>
                <w:sz w:val="24"/>
                <w:szCs w:val="24"/>
                <w:lang w:val="en-US" w:eastAsia="en-US"/>
              </w:rPr>
            </w:pPr>
            <w:r>
              <w:rPr>
                <w:rFonts w:hint="eastAsia" w:ascii="仿宋" w:hAnsi="仿宋" w:eastAsia="仿宋" w:cs="仿宋"/>
                <w:b w:val="0"/>
                <w:bCs/>
                <w:sz w:val="24"/>
                <w:szCs w:val="24"/>
                <w:lang w:val="en-US" w:eastAsia="zh-CN"/>
              </w:rPr>
              <w:t>注：需提供</w:t>
            </w:r>
            <w:r>
              <w:rPr>
                <w:rFonts w:hint="eastAsia" w:ascii="仿宋" w:hAnsi="仿宋" w:eastAsia="仿宋" w:cs="仿宋"/>
                <w:b w:val="0"/>
                <w:bCs/>
                <w:sz w:val="24"/>
                <w:szCs w:val="24"/>
                <w:lang w:val="en-US" w:eastAsia="en-US"/>
              </w:rPr>
              <w:t>经审计的202</w:t>
            </w:r>
            <w:r>
              <w:rPr>
                <w:rFonts w:hint="eastAsia" w:ascii="仿宋" w:hAnsi="仿宋" w:eastAsia="仿宋" w:cs="仿宋"/>
                <w:b w:val="0"/>
                <w:bCs/>
                <w:sz w:val="24"/>
                <w:szCs w:val="24"/>
                <w:lang w:val="en-US" w:eastAsia="zh-CN"/>
              </w:rPr>
              <w:t>4</w:t>
            </w:r>
            <w:r>
              <w:rPr>
                <w:rFonts w:hint="eastAsia" w:ascii="仿宋" w:hAnsi="仿宋" w:eastAsia="仿宋" w:cs="仿宋"/>
                <w:b w:val="0"/>
                <w:bCs/>
                <w:sz w:val="24"/>
                <w:szCs w:val="24"/>
                <w:lang w:val="en-US" w:eastAsia="en-US"/>
              </w:rPr>
              <w:t>年度财务报告（含资产负债表及附注），明确标注拨备覆盖率数据。</w:t>
            </w:r>
          </w:p>
        </w:tc>
        <w:tc>
          <w:tcPr>
            <w:tcW w:w="1025" w:type="dxa"/>
            <w:shd w:val="clear" w:color="auto" w:fill="auto"/>
            <w:vAlign w:val="center"/>
          </w:tcPr>
          <w:p w14:paraId="740B2E8E">
            <w:pPr>
              <w:pStyle w:val="4"/>
              <w:spacing w:before="79" w:line="360" w:lineRule="auto"/>
              <w:ind w:right="293"/>
              <w:jc w:val="center"/>
              <w:rPr>
                <w:rFonts w:hint="eastAsia" w:ascii="仿宋" w:hAnsi="仿宋" w:eastAsia="仿宋" w:cs="仿宋"/>
                <w:b w:val="0"/>
                <w:bCs/>
                <w:color w:val="auto"/>
                <w:sz w:val="24"/>
                <w:szCs w:val="24"/>
                <w:highlight w:val="none"/>
                <w:lang w:val="en-US" w:eastAsia="zh-CN"/>
              </w:rPr>
            </w:pPr>
            <w:bookmarkStart w:id="2" w:name="OLE_LINK3"/>
            <w:r>
              <w:rPr>
                <w:rFonts w:hint="eastAsia" w:ascii="仿宋" w:hAnsi="仿宋" w:eastAsia="仿宋" w:cs="仿宋"/>
                <w:b w:val="0"/>
                <w:bCs/>
                <w:color w:val="auto"/>
                <w:sz w:val="24"/>
                <w:szCs w:val="24"/>
                <w:highlight w:val="none"/>
                <w:lang w:val="en-US" w:eastAsia="zh-CN"/>
              </w:rPr>
              <w:t>10</w:t>
            </w:r>
            <w:bookmarkStart w:id="3" w:name="OLE_LINK4"/>
            <w:r>
              <w:rPr>
                <w:rFonts w:hint="eastAsia" w:ascii="仿宋" w:hAnsi="仿宋" w:eastAsia="仿宋" w:cs="仿宋"/>
                <w:b w:val="0"/>
                <w:bCs/>
                <w:color w:val="auto"/>
                <w:sz w:val="24"/>
                <w:szCs w:val="24"/>
                <w:highlight w:val="none"/>
                <w:lang w:val="en-US" w:eastAsia="zh-CN"/>
              </w:rPr>
              <w:t>分</w:t>
            </w:r>
            <w:bookmarkEnd w:id="2"/>
            <w:bookmarkEnd w:id="3"/>
          </w:p>
        </w:tc>
      </w:tr>
      <w:tr w14:paraId="37C1D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jc w:val="center"/>
        </w:trPr>
        <w:tc>
          <w:tcPr>
            <w:tcW w:w="1687" w:type="dxa"/>
            <w:vMerge w:val="continue"/>
            <w:shd w:val="clear" w:color="auto" w:fill="auto"/>
            <w:vAlign w:val="center"/>
          </w:tcPr>
          <w:p w14:paraId="2C47FB6E">
            <w:pPr>
              <w:pStyle w:val="4"/>
              <w:spacing w:before="79" w:line="360" w:lineRule="auto"/>
              <w:ind w:left="496"/>
              <w:jc w:val="center"/>
              <w:rPr>
                <w:rFonts w:hint="eastAsia" w:ascii="仿宋" w:hAnsi="仿宋" w:eastAsia="仿宋" w:cs="仿宋"/>
                <w:b w:val="0"/>
                <w:bCs/>
                <w:sz w:val="24"/>
                <w:szCs w:val="24"/>
                <w:lang w:val="en-US" w:eastAsia="zh-CN"/>
              </w:rPr>
            </w:pPr>
          </w:p>
        </w:tc>
        <w:tc>
          <w:tcPr>
            <w:tcW w:w="1716" w:type="dxa"/>
            <w:shd w:val="clear" w:color="auto" w:fill="auto"/>
            <w:vAlign w:val="center"/>
          </w:tcPr>
          <w:p w14:paraId="150C4EB4">
            <w:pPr>
              <w:pStyle w:val="4"/>
              <w:spacing w:before="79" w:line="360" w:lineRule="auto"/>
              <w:ind w:right="350"/>
              <w:jc w:val="center"/>
              <w:rPr>
                <w:rFonts w:hint="eastAsia" w:ascii="仿宋" w:hAnsi="仿宋" w:eastAsia="仿宋" w:cs="仿宋"/>
                <w:b w:val="0"/>
                <w:bCs/>
                <w:sz w:val="24"/>
                <w:szCs w:val="24"/>
                <w:lang w:val="en-US" w:eastAsia="zh-CN"/>
              </w:rPr>
            </w:pPr>
            <w:bookmarkStart w:id="4" w:name="OLE_LINK8"/>
            <w:r>
              <w:rPr>
                <w:rFonts w:hint="eastAsia" w:ascii="仿宋" w:hAnsi="仿宋" w:eastAsia="仿宋" w:cs="仿宋"/>
                <w:b w:val="0"/>
                <w:bCs/>
                <w:sz w:val="24"/>
                <w:szCs w:val="24"/>
              </w:rPr>
              <w:t>流动性覆盖率</w:t>
            </w:r>
            <w:bookmarkEnd w:id="4"/>
          </w:p>
        </w:tc>
        <w:tc>
          <w:tcPr>
            <w:tcW w:w="4652" w:type="dxa"/>
            <w:shd w:val="clear" w:color="auto" w:fill="auto"/>
            <w:vAlign w:val="center"/>
          </w:tcPr>
          <w:p w14:paraId="5D93D95C">
            <w:pPr>
              <w:bidi w:val="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2024年</w:t>
            </w:r>
            <w:r>
              <w:rPr>
                <w:rFonts w:hint="eastAsia" w:ascii="仿宋" w:hAnsi="仿宋" w:eastAsia="仿宋" w:cs="仿宋"/>
                <w:b w:val="0"/>
                <w:bCs/>
                <w:sz w:val="24"/>
                <w:szCs w:val="24"/>
              </w:rPr>
              <w:t>流动性覆盖率</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流动性覆盖率不低于100%得10分，低于100%不得分。</w:t>
            </w:r>
          </w:p>
          <w:p w14:paraId="7861B7E1">
            <w:pPr>
              <w:bidi w:val="0"/>
              <w:rPr>
                <w:rFonts w:hint="eastAsia" w:ascii="仿宋" w:hAnsi="仿宋" w:eastAsia="仿宋" w:cs="仿宋"/>
                <w:b w:val="0"/>
                <w:bCs/>
                <w:sz w:val="24"/>
                <w:szCs w:val="24"/>
                <w:lang w:val="en-US" w:eastAsia="en-US"/>
              </w:rPr>
            </w:pPr>
            <w:r>
              <w:rPr>
                <w:rFonts w:hint="eastAsia" w:ascii="仿宋" w:hAnsi="仿宋" w:eastAsia="仿宋" w:cs="仿宋"/>
                <w:b w:val="0"/>
                <w:bCs/>
                <w:sz w:val="24"/>
                <w:szCs w:val="24"/>
                <w:lang w:val="en-US" w:eastAsia="zh-CN"/>
              </w:rPr>
              <w:t>注：需提供经审计的2024年度财务报告（含资产负债表及附注），明确标注流动性覆盖率数据。</w:t>
            </w:r>
          </w:p>
        </w:tc>
        <w:tc>
          <w:tcPr>
            <w:tcW w:w="1025" w:type="dxa"/>
            <w:shd w:val="clear" w:color="auto" w:fill="auto"/>
            <w:vAlign w:val="center"/>
          </w:tcPr>
          <w:p w14:paraId="4315B284">
            <w:pPr>
              <w:pStyle w:val="4"/>
              <w:spacing w:before="79" w:line="360" w:lineRule="auto"/>
              <w:ind w:right="293"/>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10分</w:t>
            </w:r>
          </w:p>
        </w:tc>
      </w:tr>
      <w:tr w14:paraId="44AAE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jc w:val="center"/>
        </w:trPr>
        <w:tc>
          <w:tcPr>
            <w:tcW w:w="1687" w:type="dxa"/>
            <w:vMerge w:val="restart"/>
            <w:shd w:val="clear" w:color="auto" w:fill="auto"/>
            <w:vAlign w:val="center"/>
          </w:tcPr>
          <w:p w14:paraId="38EA55D5">
            <w:pPr>
              <w:keepNext w:val="0"/>
              <w:keepLines w:val="0"/>
              <w:numPr>
                <w:ilvl w:val="0"/>
                <w:numId w:val="0"/>
              </w:numPr>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bookmarkStart w:id="5" w:name="OLE_LINK10" w:colFirst="1" w:colLast="1"/>
            <w:r>
              <w:rPr>
                <w:rFonts w:hint="eastAsia" w:ascii="仿宋" w:hAnsi="仿宋" w:eastAsia="仿宋" w:cs="仿宋"/>
                <w:b w:val="0"/>
                <w:bCs/>
                <w:sz w:val="24"/>
                <w:szCs w:val="24"/>
                <w:lang w:val="en-US" w:eastAsia="zh-CN"/>
              </w:rPr>
              <w:t>收益性指标</w:t>
            </w:r>
          </w:p>
        </w:tc>
        <w:tc>
          <w:tcPr>
            <w:tcW w:w="1716" w:type="dxa"/>
            <w:shd w:val="clear" w:color="auto" w:fill="auto"/>
            <w:vAlign w:val="center"/>
          </w:tcPr>
          <w:p w14:paraId="058C9CC4">
            <w:pPr>
              <w:autoSpaceDE w:val="0"/>
              <w:autoSpaceDN w:val="0"/>
              <w:adjustRightInd w:val="0"/>
              <w:jc w:val="center"/>
              <w:rPr>
                <w:rFonts w:hint="eastAsia" w:ascii="仿宋" w:hAnsi="仿宋" w:eastAsia="仿宋" w:cs="仿宋"/>
                <w:b w:val="0"/>
                <w:bCs/>
                <w:sz w:val="24"/>
                <w:szCs w:val="24"/>
              </w:rPr>
            </w:pPr>
            <w:r>
              <w:rPr>
                <w:rFonts w:hint="eastAsia" w:ascii="仿宋" w:hAnsi="仿宋" w:eastAsia="仿宋" w:cs="仿宋"/>
                <w:b w:val="0"/>
                <w:bCs/>
                <w:kern w:val="0"/>
                <w:sz w:val="24"/>
                <w:szCs w:val="24"/>
                <w:lang w:val="en-US" w:eastAsia="zh-CN"/>
              </w:rPr>
              <w:t>协定存款利率</w:t>
            </w:r>
          </w:p>
        </w:tc>
        <w:tc>
          <w:tcPr>
            <w:tcW w:w="4652" w:type="dxa"/>
            <w:shd w:val="clear" w:color="auto" w:fill="auto"/>
            <w:vAlign w:val="center"/>
          </w:tcPr>
          <w:p w14:paraId="7B7CDC71">
            <w:pPr>
              <w:bidi w:val="0"/>
              <w:rPr>
                <w:rFonts w:hint="eastAsia" w:ascii="仿宋" w:hAnsi="仿宋" w:eastAsia="仿宋" w:cs="仿宋"/>
                <w:b w:val="0"/>
                <w:bCs/>
                <w:sz w:val="24"/>
                <w:szCs w:val="24"/>
                <w:lang w:val="en-US" w:eastAsia="zh-CN"/>
              </w:rPr>
            </w:pPr>
            <w:r>
              <w:rPr>
                <w:rFonts w:hint="eastAsia" w:ascii="仿宋" w:hAnsi="仿宋" w:eastAsia="仿宋" w:cs="仿宋"/>
                <w:b w:val="0"/>
                <w:bCs/>
                <w:color w:val="auto"/>
                <w:kern w:val="0"/>
                <w:sz w:val="24"/>
                <w:szCs w:val="24"/>
                <w:lang w:val="en-US" w:eastAsia="zh-CN"/>
              </w:rPr>
              <w:t>协定存款利率给予一定上浮（需符合商业银行总行利率定价机制和行业内部管理规定），上浮基点最高者得5分，依次按高低排名顺序递减1分。</w:t>
            </w:r>
          </w:p>
        </w:tc>
        <w:tc>
          <w:tcPr>
            <w:tcW w:w="1025" w:type="dxa"/>
            <w:shd w:val="clear" w:color="auto" w:fill="auto"/>
            <w:vAlign w:val="center"/>
          </w:tcPr>
          <w:p w14:paraId="57AD9E3C">
            <w:pPr>
              <w:pStyle w:val="4"/>
              <w:spacing w:before="79" w:line="360" w:lineRule="auto"/>
              <w:ind w:right="293"/>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5分</w:t>
            </w:r>
          </w:p>
        </w:tc>
      </w:tr>
      <w:tr w14:paraId="0A953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7" w:hRule="atLeast"/>
          <w:jc w:val="center"/>
        </w:trPr>
        <w:tc>
          <w:tcPr>
            <w:tcW w:w="1687" w:type="dxa"/>
            <w:vMerge w:val="continue"/>
            <w:shd w:val="clear" w:color="auto" w:fill="auto"/>
            <w:vAlign w:val="center"/>
          </w:tcPr>
          <w:p w14:paraId="0EC17273">
            <w:pPr>
              <w:pStyle w:val="4"/>
              <w:spacing w:before="79" w:line="360" w:lineRule="auto"/>
              <w:ind w:left="496"/>
              <w:jc w:val="center"/>
              <w:rPr>
                <w:rFonts w:hint="eastAsia" w:ascii="仿宋" w:hAnsi="仿宋" w:eastAsia="仿宋" w:cs="仿宋"/>
                <w:b w:val="0"/>
                <w:bCs/>
                <w:sz w:val="24"/>
                <w:szCs w:val="24"/>
                <w:lang w:val="en-US" w:eastAsia="zh-CN"/>
              </w:rPr>
            </w:pPr>
          </w:p>
        </w:tc>
        <w:tc>
          <w:tcPr>
            <w:tcW w:w="1716" w:type="dxa"/>
            <w:shd w:val="clear" w:color="auto" w:fill="auto"/>
            <w:vAlign w:val="center"/>
          </w:tcPr>
          <w:p w14:paraId="2FE0FD4F">
            <w:pPr>
              <w:autoSpaceDE w:val="0"/>
              <w:autoSpaceDN w:val="0"/>
              <w:adjustRightInd w:val="0"/>
              <w:jc w:val="center"/>
              <w:rPr>
                <w:rFonts w:hint="eastAsia" w:ascii="仿宋" w:hAnsi="仿宋" w:eastAsia="仿宋" w:cs="仿宋"/>
                <w:b w:val="0"/>
                <w:bCs/>
                <w:sz w:val="24"/>
                <w:szCs w:val="24"/>
              </w:rPr>
            </w:pPr>
            <w:r>
              <w:rPr>
                <w:rFonts w:hint="eastAsia" w:ascii="仿宋" w:hAnsi="仿宋" w:eastAsia="仿宋" w:cs="仿宋"/>
                <w:b w:val="0"/>
                <w:bCs/>
                <w:kern w:val="0"/>
                <w:sz w:val="24"/>
                <w:szCs w:val="24"/>
                <w:lang w:val="en-US" w:eastAsia="zh-CN"/>
              </w:rPr>
              <w:t>活期存款利率</w:t>
            </w:r>
          </w:p>
        </w:tc>
        <w:tc>
          <w:tcPr>
            <w:tcW w:w="4652" w:type="dxa"/>
            <w:shd w:val="clear" w:color="auto" w:fill="auto"/>
            <w:vAlign w:val="center"/>
          </w:tcPr>
          <w:p w14:paraId="0B5FBF97">
            <w:pPr>
              <w:bidi w:val="0"/>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投标人承诺对安庆市疾病预防控制中心预防医学门诊部活期存款利率按三个月整存整取定期存款利率计息的得5分，否则不得分。</w:t>
            </w:r>
          </w:p>
          <w:p w14:paraId="0A915CD8">
            <w:pPr>
              <w:bidi w:val="0"/>
              <w:rPr>
                <w:rFonts w:hint="default"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注：投标人出具承诺函。</w:t>
            </w:r>
          </w:p>
        </w:tc>
        <w:tc>
          <w:tcPr>
            <w:tcW w:w="1025" w:type="dxa"/>
            <w:shd w:val="clear" w:color="auto" w:fill="auto"/>
            <w:vAlign w:val="center"/>
          </w:tcPr>
          <w:p w14:paraId="09A67DBC">
            <w:pPr>
              <w:pStyle w:val="4"/>
              <w:spacing w:before="79" w:line="360" w:lineRule="auto"/>
              <w:ind w:right="293"/>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5分</w:t>
            </w:r>
          </w:p>
        </w:tc>
      </w:tr>
      <w:bookmarkEnd w:id="5"/>
      <w:tr w14:paraId="5F303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jc w:val="center"/>
        </w:trPr>
        <w:tc>
          <w:tcPr>
            <w:tcW w:w="1687" w:type="dxa"/>
            <w:vMerge w:val="restart"/>
            <w:shd w:val="clear" w:color="auto" w:fill="auto"/>
            <w:vAlign w:val="center"/>
          </w:tcPr>
          <w:p w14:paraId="5BD3327C">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安全性指标</w:t>
            </w:r>
          </w:p>
        </w:tc>
        <w:tc>
          <w:tcPr>
            <w:tcW w:w="1716" w:type="dxa"/>
            <w:shd w:val="clear" w:color="auto" w:fill="auto"/>
            <w:vAlign w:val="center"/>
          </w:tcPr>
          <w:p w14:paraId="66AF9E44">
            <w:pPr>
              <w:keepNext w:val="0"/>
              <w:keepLines w:val="0"/>
              <w:suppressLineNumbers w:val="0"/>
              <w:spacing w:before="0" w:beforeAutospacing="0" w:after="0" w:afterAutospacing="0"/>
              <w:ind w:left="0" w:leftChars="0" w:right="0" w:rightChars="0"/>
              <w:jc w:val="left"/>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是否建立有相关内部控制机制体系建设</w:t>
            </w:r>
          </w:p>
        </w:tc>
        <w:tc>
          <w:tcPr>
            <w:tcW w:w="4652" w:type="dxa"/>
            <w:shd w:val="clear" w:color="auto" w:fill="auto"/>
            <w:vAlign w:val="center"/>
          </w:tcPr>
          <w:p w14:paraId="16B7E0EF">
            <w:pPr>
              <w:keepNext w:val="0"/>
              <w:keepLines w:val="0"/>
              <w:suppressLineNumbers w:val="0"/>
              <w:spacing w:before="0" w:beforeAutospacing="0" w:after="0" w:afterAutospacing="0"/>
              <w:ind w:left="0" w:leftChars="0" w:right="0" w:rightChars="0"/>
              <w:rPr>
                <w:rFonts w:hint="eastAsia" w:ascii="仿宋" w:hAnsi="仿宋" w:eastAsia="仿宋" w:cs="仿宋"/>
                <w:b w:val="0"/>
                <w:bCs/>
                <w:sz w:val="24"/>
                <w:szCs w:val="24"/>
                <w:lang w:val="en-US" w:eastAsia="zh-CN"/>
              </w:rPr>
            </w:pPr>
            <w:r>
              <w:rPr>
                <w:rFonts w:hint="eastAsia" w:ascii="仿宋" w:hAnsi="仿宋" w:eastAsia="仿宋" w:cs="仿宋"/>
                <w:b w:val="0"/>
                <w:bCs/>
                <w:kern w:val="0"/>
                <w:sz w:val="24"/>
                <w:szCs w:val="24"/>
                <w:lang w:val="en-US" w:eastAsia="zh-CN"/>
              </w:rPr>
              <w:t>建立有相关内部控制机制体系建设，</w:t>
            </w:r>
            <w:r>
              <w:rPr>
                <w:rFonts w:hint="eastAsia" w:ascii="仿宋" w:hAnsi="仿宋" w:eastAsia="仿宋" w:cs="仿宋"/>
                <w:b w:val="0"/>
                <w:bCs/>
                <w:sz w:val="24"/>
                <w:szCs w:val="24"/>
              </w:rPr>
              <w:t>内部控制机制健全</w:t>
            </w:r>
            <w:r>
              <w:rPr>
                <w:rFonts w:hint="eastAsia" w:ascii="仿宋" w:hAnsi="仿宋" w:eastAsia="仿宋" w:cs="仿宋"/>
                <w:b w:val="0"/>
                <w:bCs/>
                <w:sz w:val="24"/>
                <w:szCs w:val="24"/>
                <w:lang w:eastAsia="zh-CN"/>
              </w:rPr>
              <w:t>得</w:t>
            </w:r>
            <w:r>
              <w:rPr>
                <w:rFonts w:hint="eastAsia" w:ascii="仿宋" w:hAnsi="仿宋" w:eastAsia="仿宋" w:cs="仿宋"/>
                <w:b w:val="0"/>
                <w:bCs/>
                <w:sz w:val="24"/>
                <w:szCs w:val="24"/>
                <w:lang w:val="en-US" w:eastAsia="zh-CN"/>
              </w:rPr>
              <w:t>10分，否则不得分。</w:t>
            </w:r>
          </w:p>
          <w:p w14:paraId="00350D0F">
            <w:pPr>
              <w:keepNext w:val="0"/>
              <w:keepLines w:val="0"/>
              <w:suppressLineNumbers w:val="0"/>
              <w:spacing w:before="0" w:beforeAutospacing="0" w:after="0" w:afterAutospacing="0"/>
              <w:ind w:left="0" w:leftChars="0" w:right="0" w:rightChars="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注：投标人出具承诺函。</w:t>
            </w:r>
          </w:p>
        </w:tc>
        <w:tc>
          <w:tcPr>
            <w:tcW w:w="1025" w:type="dxa"/>
            <w:shd w:val="clear" w:color="auto" w:fill="auto"/>
            <w:vAlign w:val="center"/>
          </w:tcPr>
          <w:p w14:paraId="0D4C283D">
            <w:pPr>
              <w:pStyle w:val="4"/>
              <w:spacing w:before="79" w:line="360" w:lineRule="auto"/>
              <w:ind w:right="293"/>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10分</w:t>
            </w:r>
          </w:p>
        </w:tc>
      </w:tr>
      <w:tr w14:paraId="52A23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87" w:type="dxa"/>
            <w:vMerge w:val="continue"/>
            <w:shd w:val="clear" w:color="auto" w:fill="auto"/>
            <w:vAlign w:val="center"/>
          </w:tcPr>
          <w:p w14:paraId="2FA9611B">
            <w:pPr>
              <w:pStyle w:val="4"/>
              <w:spacing w:before="79" w:line="360" w:lineRule="auto"/>
              <w:ind w:left="496"/>
              <w:jc w:val="center"/>
              <w:rPr>
                <w:rFonts w:hint="eastAsia" w:ascii="仿宋" w:hAnsi="仿宋" w:eastAsia="仿宋" w:cs="仿宋"/>
                <w:b w:val="0"/>
                <w:bCs/>
                <w:sz w:val="24"/>
                <w:szCs w:val="24"/>
                <w:lang w:val="en-US" w:eastAsia="zh-CN"/>
              </w:rPr>
            </w:pPr>
          </w:p>
        </w:tc>
        <w:tc>
          <w:tcPr>
            <w:tcW w:w="1716" w:type="dxa"/>
            <w:shd w:val="clear" w:color="auto" w:fill="auto"/>
            <w:vAlign w:val="center"/>
          </w:tcPr>
          <w:p w14:paraId="1974078F">
            <w:pPr>
              <w:keepNext w:val="0"/>
              <w:keepLines w:val="0"/>
              <w:suppressLineNumbers w:val="0"/>
              <w:spacing w:before="0" w:beforeAutospacing="0" w:after="0" w:afterAutospacing="0"/>
              <w:ind w:left="0" w:leftChars="0" w:right="0" w:rightChars="0"/>
              <w:jc w:val="left"/>
              <w:rPr>
                <w:rFonts w:hint="eastAsia" w:ascii="仿宋" w:hAnsi="仿宋" w:eastAsia="仿宋" w:cs="仿宋"/>
                <w:b w:val="0"/>
                <w:bCs/>
                <w:kern w:val="0"/>
                <w:sz w:val="24"/>
                <w:szCs w:val="24"/>
                <w:lang w:val="en-US" w:eastAsia="zh-CN"/>
              </w:rPr>
            </w:pPr>
            <w:r>
              <w:rPr>
                <w:rFonts w:hint="eastAsia" w:ascii="仿宋" w:hAnsi="仿宋" w:eastAsia="仿宋" w:cs="仿宋"/>
                <w:b w:val="0"/>
                <w:bCs/>
                <w:sz w:val="24"/>
                <w:szCs w:val="24"/>
                <w:lang w:val="en-US" w:eastAsia="zh-CN"/>
              </w:rPr>
              <w:t>是否</w:t>
            </w:r>
            <w:r>
              <w:rPr>
                <w:rFonts w:hint="eastAsia" w:ascii="仿宋" w:hAnsi="仿宋" w:eastAsia="仿宋" w:cs="仿宋"/>
                <w:b w:val="0"/>
                <w:bCs/>
                <w:sz w:val="24"/>
                <w:szCs w:val="24"/>
              </w:rPr>
              <w:t>具有风险控制能力</w:t>
            </w:r>
          </w:p>
        </w:tc>
        <w:tc>
          <w:tcPr>
            <w:tcW w:w="4652" w:type="dxa"/>
            <w:shd w:val="clear" w:color="auto" w:fill="auto"/>
            <w:vAlign w:val="center"/>
          </w:tcPr>
          <w:p w14:paraId="54A2B5B6">
            <w:pPr>
              <w:keepNext w:val="0"/>
              <w:keepLines w:val="0"/>
              <w:suppressLineNumbers w:val="0"/>
              <w:spacing w:before="0" w:beforeAutospacing="0" w:after="0" w:afterAutospacing="0"/>
              <w:ind w:left="0" w:leftChars="0" w:right="0" w:rightChars="0"/>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具有较强的风险控制能力，近3年内未发生金融风险、重大违约事件、重大违法违规记录得10分。</w:t>
            </w:r>
          </w:p>
          <w:p w14:paraId="68866C02">
            <w:pPr>
              <w:keepNext w:val="0"/>
              <w:keepLines w:val="0"/>
              <w:suppressLineNumbers w:val="0"/>
              <w:spacing w:before="0" w:beforeAutospacing="0" w:after="0" w:afterAutospacing="0"/>
              <w:ind w:left="0" w:leftChars="0" w:right="0" w:rightChars="0"/>
              <w:rPr>
                <w:rFonts w:hint="eastAsia" w:ascii="仿宋" w:hAnsi="仿宋" w:eastAsia="仿宋" w:cs="仿宋"/>
                <w:b w:val="0"/>
                <w:bCs/>
                <w:kern w:val="0"/>
                <w:sz w:val="24"/>
                <w:szCs w:val="24"/>
                <w:lang w:val="en-US" w:eastAsia="zh-CN"/>
              </w:rPr>
            </w:pPr>
            <w:r>
              <w:rPr>
                <w:rFonts w:hint="eastAsia" w:ascii="仿宋" w:hAnsi="仿宋" w:eastAsia="仿宋" w:cs="仿宋"/>
                <w:b w:val="0"/>
                <w:bCs/>
                <w:sz w:val="24"/>
                <w:szCs w:val="24"/>
                <w:lang w:val="en-US" w:eastAsia="zh-CN"/>
              </w:rPr>
              <w:t>注：投标人出具承诺函。</w:t>
            </w:r>
          </w:p>
        </w:tc>
        <w:tc>
          <w:tcPr>
            <w:tcW w:w="1025" w:type="dxa"/>
            <w:shd w:val="clear" w:color="auto" w:fill="auto"/>
            <w:vAlign w:val="center"/>
          </w:tcPr>
          <w:p w14:paraId="31E8F091">
            <w:pPr>
              <w:pStyle w:val="4"/>
              <w:spacing w:before="79" w:line="360" w:lineRule="auto"/>
              <w:ind w:right="293"/>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10分</w:t>
            </w:r>
          </w:p>
        </w:tc>
      </w:tr>
      <w:tr w14:paraId="7F7CE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687" w:type="dxa"/>
            <w:vMerge w:val="restart"/>
            <w:shd w:val="clear" w:color="auto" w:fill="auto"/>
            <w:vAlign w:val="center"/>
          </w:tcPr>
          <w:p w14:paraId="71B76C21">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b w:val="0"/>
                <w:bCs/>
                <w:sz w:val="24"/>
                <w:szCs w:val="24"/>
                <w:lang w:val="en-US" w:eastAsia="zh-CN"/>
              </w:rPr>
            </w:pPr>
            <w:bookmarkStart w:id="6" w:name="OLE_LINK17"/>
            <w:r>
              <w:rPr>
                <w:rFonts w:hint="eastAsia" w:ascii="仿宋" w:hAnsi="仿宋" w:eastAsia="仿宋" w:cs="仿宋"/>
                <w:b w:val="0"/>
                <w:bCs/>
                <w:sz w:val="24"/>
                <w:szCs w:val="24"/>
              </w:rPr>
              <w:t>服务</w:t>
            </w:r>
            <w:r>
              <w:rPr>
                <w:rFonts w:hint="eastAsia" w:ascii="仿宋" w:hAnsi="仿宋" w:eastAsia="仿宋" w:cs="仿宋"/>
                <w:b w:val="0"/>
                <w:bCs/>
                <w:sz w:val="24"/>
                <w:szCs w:val="24"/>
                <w:lang w:val="en-US" w:eastAsia="zh-CN"/>
              </w:rPr>
              <w:t>性指标</w:t>
            </w:r>
            <w:bookmarkEnd w:id="6"/>
          </w:p>
        </w:tc>
        <w:tc>
          <w:tcPr>
            <w:tcW w:w="1716" w:type="dxa"/>
            <w:shd w:val="clear" w:color="auto" w:fill="auto"/>
            <w:vAlign w:val="center"/>
          </w:tcPr>
          <w:p w14:paraId="442D634C">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评价等级</w:t>
            </w:r>
          </w:p>
        </w:tc>
        <w:tc>
          <w:tcPr>
            <w:tcW w:w="4652" w:type="dxa"/>
            <w:shd w:val="clear" w:color="auto" w:fill="auto"/>
            <w:vAlign w:val="center"/>
          </w:tcPr>
          <w:p w14:paraId="00F0A8F3">
            <w:pPr>
              <w:keepNext w:val="0"/>
              <w:keepLines w:val="0"/>
              <w:suppressLineNumbers w:val="0"/>
              <w:spacing w:before="0" w:beforeAutospacing="0" w:after="0" w:afterAutospacing="0"/>
              <w:ind w:left="0" w:leftChars="0" w:right="0" w:rightChars="0"/>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中国人民银行综合评价结果等级为B等及以上得5分，低于B级不得分。</w:t>
            </w:r>
          </w:p>
          <w:p w14:paraId="62F878E0">
            <w:pPr>
              <w:keepNext w:val="0"/>
              <w:keepLines w:val="0"/>
              <w:suppressLineNumbers w:val="0"/>
              <w:spacing w:before="0" w:beforeAutospacing="0" w:after="0" w:afterAutospacing="0"/>
              <w:ind w:left="0" w:leftChars="0" w:right="0" w:rightChars="0"/>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注：提供中国人民银行官方网站公示或银行协会公示的银行评级结果截图（需为B级及以上），并加盖公章。</w:t>
            </w:r>
          </w:p>
        </w:tc>
        <w:tc>
          <w:tcPr>
            <w:tcW w:w="1025" w:type="dxa"/>
            <w:shd w:val="clear" w:color="auto" w:fill="auto"/>
            <w:vAlign w:val="center"/>
          </w:tcPr>
          <w:p w14:paraId="27DB97E2">
            <w:pPr>
              <w:pStyle w:val="4"/>
              <w:spacing w:before="79" w:line="360" w:lineRule="auto"/>
              <w:ind w:right="293"/>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5分</w:t>
            </w:r>
          </w:p>
        </w:tc>
      </w:tr>
      <w:tr w14:paraId="7E117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jc w:val="center"/>
        </w:trPr>
        <w:tc>
          <w:tcPr>
            <w:tcW w:w="1687" w:type="dxa"/>
            <w:vMerge w:val="continue"/>
            <w:shd w:val="clear" w:color="auto" w:fill="auto"/>
            <w:vAlign w:val="center"/>
          </w:tcPr>
          <w:p w14:paraId="0C99C90D">
            <w:pPr>
              <w:pStyle w:val="4"/>
              <w:spacing w:before="79" w:line="360" w:lineRule="auto"/>
              <w:ind w:left="496"/>
              <w:jc w:val="center"/>
              <w:rPr>
                <w:rFonts w:hint="eastAsia" w:ascii="仿宋" w:hAnsi="仿宋" w:eastAsia="仿宋" w:cs="仿宋"/>
                <w:b w:val="0"/>
                <w:bCs/>
                <w:sz w:val="24"/>
                <w:szCs w:val="24"/>
                <w:lang w:val="en-US" w:eastAsia="zh-CN"/>
              </w:rPr>
            </w:pPr>
            <w:bookmarkStart w:id="7" w:name="OLE_LINK7" w:colFirst="1" w:colLast="1"/>
          </w:p>
        </w:tc>
        <w:tc>
          <w:tcPr>
            <w:tcW w:w="1716" w:type="dxa"/>
            <w:shd w:val="clear" w:color="auto" w:fill="auto"/>
            <w:vAlign w:val="center"/>
          </w:tcPr>
          <w:p w14:paraId="0F1788D1">
            <w:pPr>
              <w:keepNext w:val="0"/>
              <w:keepLines w:val="0"/>
              <w:suppressLineNumbers w:val="0"/>
              <w:spacing w:before="0" w:beforeAutospacing="0" w:after="0" w:afterAutospacing="0"/>
              <w:ind w:left="0" w:leftChars="0" w:right="0" w:rightChars="0"/>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rPr>
              <w:t>支付结算、对账、分账核算能力</w:t>
            </w:r>
          </w:p>
        </w:tc>
        <w:tc>
          <w:tcPr>
            <w:tcW w:w="4652" w:type="dxa"/>
            <w:shd w:val="clear" w:color="auto" w:fill="auto"/>
            <w:vAlign w:val="center"/>
          </w:tcPr>
          <w:p w14:paraId="25983CFD">
            <w:pPr>
              <w:keepNext w:val="0"/>
              <w:keepLines w:val="0"/>
              <w:suppressLineNumbers w:val="0"/>
              <w:spacing w:before="0" w:beforeAutospacing="0" w:after="0" w:afterAutospacing="0"/>
              <w:ind w:left="0" w:leftChars="0" w:right="0" w:rightChars="0"/>
              <w:rPr>
                <w:rFonts w:hint="eastAsia" w:ascii="仿宋" w:hAnsi="仿宋" w:eastAsia="仿宋" w:cs="仿宋"/>
                <w:b w:val="0"/>
                <w:bCs/>
                <w:sz w:val="24"/>
                <w:szCs w:val="24"/>
                <w:lang w:val="en-US" w:eastAsia="zh-CN"/>
              </w:rPr>
            </w:pPr>
            <w:r>
              <w:rPr>
                <w:rFonts w:hint="eastAsia" w:ascii="仿宋" w:hAnsi="仿宋" w:eastAsia="仿宋" w:cs="仿宋"/>
                <w:b w:val="0"/>
                <w:bCs/>
                <w:sz w:val="24"/>
                <w:szCs w:val="24"/>
              </w:rPr>
              <w:t>支付结算、对账、分账核算能力及水平</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优秀</w:t>
            </w:r>
            <w:bookmarkStart w:id="8" w:name="OLE_LINK5"/>
            <w:r>
              <w:rPr>
                <w:rFonts w:hint="eastAsia" w:ascii="仿宋" w:hAnsi="仿宋" w:eastAsia="仿宋" w:cs="仿宋"/>
                <w:b w:val="0"/>
                <w:bCs/>
                <w:sz w:val="24"/>
                <w:szCs w:val="24"/>
                <w:lang w:val="en-US" w:eastAsia="zh-CN"/>
              </w:rPr>
              <w:t>得</w:t>
            </w:r>
            <w:bookmarkEnd w:id="8"/>
            <w:r>
              <w:rPr>
                <w:rFonts w:hint="eastAsia" w:ascii="仿宋" w:hAnsi="仿宋" w:eastAsia="仿宋" w:cs="仿宋"/>
                <w:b w:val="0"/>
                <w:bCs/>
                <w:sz w:val="24"/>
                <w:szCs w:val="24"/>
                <w:lang w:val="en-US" w:eastAsia="zh-CN"/>
              </w:rPr>
              <w:t>5分，良好得4分，一般得3分。</w:t>
            </w:r>
          </w:p>
          <w:p w14:paraId="0E0E56B3">
            <w:pPr>
              <w:keepNext w:val="0"/>
              <w:keepLines w:val="0"/>
              <w:suppressLineNumbers w:val="0"/>
              <w:spacing w:before="0" w:beforeAutospacing="0" w:after="0" w:afterAutospacing="0"/>
              <w:ind w:left="0" w:leftChars="0" w:right="0" w:rightChars="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注：需提供支付结算系统功能说明（如实时清算、多级账簿管理等），加盖公章.</w:t>
            </w:r>
          </w:p>
        </w:tc>
        <w:tc>
          <w:tcPr>
            <w:tcW w:w="1025" w:type="dxa"/>
            <w:shd w:val="clear" w:color="auto" w:fill="auto"/>
            <w:vAlign w:val="center"/>
          </w:tcPr>
          <w:p w14:paraId="57628B57">
            <w:pPr>
              <w:pStyle w:val="4"/>
              <w:spacing w:before="79" w:line="360" w:lineRule="auto"/>
              <w:ind w:right="293"/>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5分</w:t>
            </w:r>
          </w:p>
        </w:tc>
      </w:tr>
      <w:bookmarkEnd w:id="7"/>
      <w:tr w14:paraId="7AE61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jc w:val="center"/>
        </w:trPr>
        <w:tc>
          <w:tcPr>
            <w:tcW w:w="1687" w:type="dxa"/>
            <w:vMerge w:val="continue"/>
            <w:shd w:val="clear" w:color="auto" w:fill="auto"/>
            <w:vAlign w:val="center"/>
          </w:tcPr>
          <w:p w14:paraId="3D1F9DAB">
            <w:pPr>
              <w:pStyle w:val="4"/>
              <w:spacing w:before="79" w:line="360" w:lineRule="auto"/>
              <w:ind w:left="496"/>
              <w:jc w:val="center"/>
              <w:rPr>
                <w:rFonts w:hint="eastAsia" w:ascii="仿宋" w:hAnsi="仿宋" w:eastAsia="仿宋" w:cs="仿宋"/>
                <w:b w:val="0"/>
                <w:bCs/>
                <w:sz w:val="24"/>
                <w:szCs w:val="24"/>
                <w:lang w:val="en-US" w:eastAsia="zh-CN"/>
              </w:rPr>
            </w:pPr>
          </w:p>
        </w:tc>
        <w:tc>
          <w:tcPr>
            <w:tcW w:w="1716" w:type="dxa"/>
            <w:shd w:val="clear" w:color="auto" w:fill="auto"/>
            <w:vAlign w:val="center"/>
          </w:tcPr>
          <w:p w14:paraId="48233854">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个性化服务</w:t>
            </w:r>
          </w:p>
        </w:tc>
        <w:tc>
          <w:tcPr>
            <w:tcW w:w="4652" w:type="dxa"/>
            <w:shd w:val="clear" w:color="auto" w:fill="auto"/>
            <w:vAlign w:val="center"/>
          </w:tcPr>
          <w:p w14:paraId="0EBDDE0C">
            <w:pPr>
              <w:keepNext w:val="0"/>
              <w:keepLines w:val="0"/>
              <w:suppressLineNumbers w:val="0"/>
              <w:spacing w:before="0" w:beforeAutospacing="0" w:after="0" w:afterAutospacing="0"/>
              <w:ind w:left="0" w:leftChars="0" w:right="0" w:rightChars="0"/>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有畅通的问题投诉受理渠道，业务问题处理积极、有效，系统运行稳定、安全可靠，账户管理规范，是否提供上门服务等。根据各金融机构提供的服务能力打分，满分30分。</w:t>
            </w:r>
          </w:p>
          <w:p w14:paraId="3830134E">
            <w:pPr>
              <w:keepNext w:val="0"/>
              <w:keepLines w:val="0"/>
              <w:suppressLineNumbers w:val="0"/>
              <w:spacing w:before="0" w:beforeAutospacing="0" w:after="0" w:afterAutospacing="0"/>
              <w:ind w:left="0" w:leftChars="0" w:right="0" w:rightChars="0"/>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注：提供服务方案（含上门服务、紧急响应、专属客户经理等）；</w:t>
            </w:r>
          </w:p>
          <w:p w14:paraId="4A233399">
            <w:pPr>
              <w:keepNext w:val="0"/>
              <w:keepLines w:val="0"/>
              <w:suppressLineNumbers w:val="0"/>
              <w:spacing w:before="0" w:beforeAutospacing="0" w:after="0" w:afterAutospacing="0"/>
              <w:ind w:left="0" w:leftChars="0" w:right="0" w:rightChars="0"/>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投诉处理流程及承诺时效（附客服热线、在线渠道截图）等。</w:t>
            </w:r>
          </w:p>
        </w:tc>
        <w:tc>
          <w:tcPr>
            <w:tcW w:w="1025" w:type="dxa"/>
            <w:shd w:val="clear" w:color="auto" w:fill="auto"/>
            <w:vAlign w:val="center"/>
          </w:tcPr>
          <w:p w14:paraId="34E518F6">
            <w:pPr>
              <w:pStyle w:val="4"/>
              <w:spacing w:before="79" w:line="360" w:lineRule="auto"/>
              <w:ind w:right="293"/>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30分</w:t>
            </w:r>
          </w:p>
        </w:tc>
      </w:tr>
    </w:tbl>
    <w:p w14:paraId="788C19CE">
      <w:bookmarkStart w:id="9" w:name="_GoBack"/>
      <w:bookmarkEnd w:id="9"/>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iOGFkOTI3OWE4NTA5NmRhN2Q0YTY1NmE3MjU5Y2IifQ=="/>
  </w:docVars>
  <w:rsids>
    <w:rsidRoot w:val="126F6563"/>
    <w:rsid w:val="126F6563"/>
    <w:rsid w:val="7D9C40A0"/>
    <w:rsid w:val="7E3B2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Paragraph"/>
    <w:basedOn w:val="1"/>
    <w:autoRedefine/>
    <w:qFormat/>
    <w:uiPriority w:val="1"/>
    <w:rPr>
      <w:rFonts w:ascii="宋体" w:hAnsi="宋体"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894</Words>
  <Characters>955</Characters>
  <Lines>0</Lines>
  <Paragraphs>0</Paragraphs>
  <TotalTime>1</TotalTime>
  <ScaleCrop>false</ScaleCrop>
  <LinksUpToDate>false</LinksUpToDate>
  <CharactersWithSpaces>955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2015-12-31T17:22:00Z</dcterms:created>
  <dc:creator>Administrator</dc:creator>
  <cp:lastModifiedBy>Administrator</cp:lastModifiedBy>
  <dcterms:modified xsi:type="dcterms:W3CDTF">2025-06-11T06:36:49Z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FFA92CE1CA694E15AB4EBDC578EF2445_11</vt:lpwstr>
  </property>
</Properties>
</file>